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jc w:val="both"/>
        <w:rPr>
          <w:rFonts w:ascii="Georgia" w:hAnsi="Georgia" w:eastAsia="Calibri" w:cs="Arial"/>
          <w:b/>
          <w:bCs/>
          <w:sz w:val="24"/>
          <w:szCs w:val="24"/>
          <w:u w:val="single"/>
        </w:rPr>
      </w:pPr>
      <w:r>
        <w:rPr>
          <w:rFonts w:eastAsia="Calibri" w:cs="Arial"/>
          <w:b/>
          <w:bCs/>
          <w:sz w:val="28"/>
          <w:szCs w:val="28"/>
          <w:u w:val="single"/>
        </w:rPr>
        <w:t>Weekly Commercial Media Report for the period 12-</w:t>
      </w:r>
      <w:r>
        <w:rPr>
          <w:rFonts w:eastAsia="Calibri" w:cs="Arial"/>
          <w:b/>
          <w:bCs/>
          <w:sz w:val="28"/>
          <w:szCs w:val="28"/>
          <w:u w:val="single"/>
        </w:rPr>
        <w:t>19</w:t>
      </w:r>
      <w:r>
        <w:rPr>
          <w:rFonts w:eastAsia="Calibri" w:cs="Arial"/>
          <w:b/>
          <w:bCs/>
          <w:sz w:val="28"/>
          <w:szCs w:val="28"/>
          <w:u w:val="single"/>
        </w:rPr>
        <w:t xml:space="preserve"> July 2024</w:t>
      </w:r>
    </w:p>
    <w:p>
      <w:pPr>
        <w:pStyle w:val="Normal"/>
        <w:bidi w:val="0"/>
        <w:spacing w:lineRule="auto" w:line="240"/>
        <w:jc w:val="both"/>
        <w:rPr>
          <w:rFonts w:ascii="Georgia" w:hAnsi="Georgia" w:eastAsia="Calibri" w:cs="Arial"/>
          <w:b/>
          <w:bCs/>
          <w:sz w:val="24"/>
          <w:szCs w:val="24"/>
          <w:u w:val="single"/>
        </w:rPr>
      </w:pPr>
      <w:r>
        <w:rPr>
          <w:rFonts w:eastAsia="Calibri" w:cs="Arial" w:ascii="Georgia" w:hAnsi="Georgia"/>
          <w:b/>
          <w:bCs/>
          <w:sz w:val="24"/>
          <w:szCs w:val="24"/>
          <w:u w:val="single"/>
        </w:rPr>
      </w:r>
    </w:p>
    <w:p>
      <w:pPr>
        <w:pStyle w:val="Normal"/>
        <w:bidi w:val="0"/>
        <w:spacing w:lineRule="auto" w:line="240"/>
        <w:jc w:val="both"/>
        <w:rPr>
          <w:rFonts w:ascii="Georgia" w:hAnsi="Georgia" w:eastAsia="Calibri" w:cs="Arial"/>
          <w:b/>
          <w:bCs/>
          <w:i/>
          <w:i/>
          <w:iCs/>
          <w:sz w:val="24"/>
          <w:szCs w:val="24"/>
          <w:u w:val="single"/>
        </w:rPr>
      </w:pPr>
      <w:r>
        <w:rPr>
          <w:rStyle w:val="Hyperlink"/>
          <w:rFonts w:eastAsia="Calibri" w:cs="Arial"/>
          <w:b/>
          <w:bCs/>
          <w:i/>
          <w:iCs/>
          <w:caps w:val="false"/>
          <w:smallCaps w:val="false"/>
          <w:color w:val="auto"/>
          <w:spacing w:val="0"/>
          <w:kern w:val="2"/>
          <w:sz w:val="30"/>
          <w:szCs w:val="30"/>
          <w:lang w:val="en-US" w:eastAsia="zh-CN" w:bidi="hi-IN"/>
        </w:rPr>
        <w:t>A.Israel-Internal</w:t>
      </w:r>
    </w:p>
    <w:p>
      <w:pPr>
        <w:pStyle w:val="Heading1"/>
        <w:keepNext w:val="false"/>
        <w:keepLines w:val="false"/>
        <w:spacing w:lineRule="auto" w:line="312" w:before="0" w:after="160"/>
        <w:rPr>
          <w:b/>
          <w:sz w:val="24"/>
          <w:szCs w:val="24"/>
          <w:u w:val="single"/>
        </w:rPr>
      </w:pPr>
      <w:r>
        <w:rPr>
          <w:b/>
          <w:sz w:val="24"/>
          <w:szCs w:val="24"/>
          <w:u w:val="single"/>
        </w:rPr>
      </w:r>
    </w:p>
    <w:p>
      <w:pPr>
        <w:pStyle w:val="Heading1"/>
        <w:pBdr/>
        <w:spacing w:lineRule="auto" w:line="240" w:before="0" w:after="160"/>
        <w:rPr/>
      </w:pPr>
      <w:bookmarkStart w:id="0" w:name="_wwiig5vi7l"/>
      <w:bookmarkEnd w:id="0"/>
      <w:r>
        <w:rPr>
          <w:b/>
          <w:sz w:val="24"/>
          <w:szCs w:val="24"/>
          <w:u w:val="single"/>
        </w:rPr>
        <w:t>Netanyahu, Simhon pushing to cancel VAT hike</w:t>
      </w:r>
    </w:p>
    <w:p>
      <w:pPr>
        <w:pStyle w:val="Normal5"/>
        <w:spacing w:lineRule="auto" w:line="240" w:before="240" w:after="240"/>
        <w:rPr/>
      </w:pPr>
      <w:r>
        <w:rPr>
          <w:sz w:val="24"/>
          <w:szCs w:val="24"/>
        </w:rPr>
        <w:t>Prime Minister Benjamin Netanyahu and his economic advisor and Prof. Avi Simhon are pushing to cancel the VAT hike from 17% to 18% due to come into effect on January 1, 2025, a source close to the matter has told "Globes." A plan prepared by National Economic Council head Simhon, which is backed by Netanyahu, proposes using revenue from the plan to offer additional tax benefits on the distribution of dividends from trapped profits, which he is promoting, in order to cancel the VAT hike, which was already approved as part of the state budget enacted last March.</w:t>
      </w:r>
    </w:p>
    <w:p>
      <w:pPr>
        <w:pStyle w:val="Normal5"/>
        <w:spacing w:lineRule="auto" w:line="240" w:before="240" w:after="240"/>
        <w:rPr/>
      </w:pPr>
      <w:hyperlink r:id="rId2">
        <w:r>
          <w:rPr>
            <w:b/>
            <w:color w:val="1155CC"/>
            <w:sz w:val="24"/>
            <w:szCs w:val="24"/>
            <w:u w:val="single"/>
          </w:rPr>
          <w:t>https://en.globes.co.il/en/article-netanyahu-simhon-pushing-to-cancel-vat-hike-1001484352</w:t>
        </w:r>
      </w:hyperlink>
      <w:r>
        <w:rPr>
          <w:b/>
          <w:sz w:val="24"/>
          <w:szCs w:val="24"/>
          <w:u w:val="single"/>
        </w:rPr>
        <w:t xml:space="preserve"> </w:t>
      </w:r>
    </w:p>
    <w:p>
      <w:pPr>
        <w:pStyle w:val="Heading1"/>
        <w:keepNext w:val="false"/>
        <w:keepLines w:val="false"/>
        <w:pBdr/>
        <w:spacing w:lineRule="auto" w:line="240" w:before="0" w:after="160"/>
        <w:rPr>
          <w:b w:val="false"/>
          <w:bCs w:val="false"/>
          <w:i w:val="false"/>
          <w:i w:val="false"/>
          <w:iCs w:val="false"/>
          <w:u w:val="none"/>
        </w:rPr>
      </w:pPr>
      <w:r>
        <w:rPr>
          <w:b w:val="false"/>
          <w:bCs w:val="false"/>
          <w:i w:val="false"/>
          <w:iCs w:val="false"/>
          <w:sz w:val="24"/>
          <w:szCs w:val="24"/>
          <w:u w:val="none"/>
        </w:rPr>
        <w:t>July 14, 2024</w:t>
      </w:r>
    </w:p>
    <w:p>
      <w:pPr>
        <w:pStyle w:val="Heading1"/>
        <w:keepNext w:val="false"/>
        <w:keepLines w:val="false"/>
        <w:pBdr/>
        <w:spacing w:lineRule="auto" w:line="240" w:before="0" w:after="160"/>
        <w:rPr/>
      </w:pPr>
      <w:bookmarkStart w:id="1" w:name="_yb2xy8czd7bd"/>
      <w:bookmarkEnd w:id="1"/>
      <w:r>
        <w:rPr>
          <w:b/>
          <w:sz w:val="24"/>
          <w:szCs w:val="24"/>
          <w:u w:val="single"/>
        </w:rPr>
        <w:t>Housing sales in Israel up 37%</w:t>
      </w:r>
    </w:p>
    <w:p>
      <w:pPr>
        <w:pStyle w:val="Normal5"/>
        <w:spacing w:lineRule="auto" w:line="240" w:before="240" w:after="240"/>
        <w:rPr/>
      </w:pPr>
      <w:r>
        <w:rPr>
          <w:sz w:val="24"/>
          <w:szCs w:val="24"/>
        </w:rPr>
        <w:t>There were 22,610 housing deals between March and May 2024, the Central Bureau of Statistics reports, up 37% from the corresponding period of 2023 and up 2.7% from the preceding three months. 47.4% of homes sold were new homes, an exceptionally high figure, and 20% of these new homes were sold in government-subsidized programs.</w:t>
      </w:r>
    </w:p>
    <w:p>
      <w:pPr>
        <w:pStyle w:val="Normal5"/>
        <w:spacing w:lineRule="auto" w:line="240" w:before="240" w:after="240"/>
        <w:rPr/>
      </w:pPr>
      <w:hyperlink r:id="rId3">
        <w:r>
          <w:rPr>
            <w:color w:val="1155CC"/>
            <w:sz w:val="24"/>
            <w:szCs w:val="24"/>
            <w:u w:val="single"/>
          </w:rPr>
          <w:t>https://en.globes.co.il/en/article-housing-sales-in-israel-up-37-1001484258</w:t>
        </w:r>
      </w:hyperlink>
      <w:r>
        <w:rPr>
          <w:sz w:val="24"/>
          <w:szCs w:val="24"/>
        </w:rPr>
        <w:t xml:space="preserve"> </w:t>
      </w:r>
    </w:p>
    <w:p>
      <w:pPr>
        <w:pStyle w:val="Heading1"/>
        <w:keepNext w:val="false"/>
        <w:keepLines w:val="false"/>
        <w:pBdr/>
        <w:spacing w:lineRule="auto" w:line="240" w:before="0" w:after="160"/>
        <w:rPr>
          <w:b w:val="false"/>
          <w:bCs w:val="false"/>
          <w:i w:val="false"/>
          <w:i w:val="false"/>
          <w:iCs w:val="false"/>
          <w:u w:val="none"/>
        </w:rPr>
      </w:pPr>
      <w:r>
        <w:rPr>
          <w:b w:val="false"/>
          <w:bCs w:val="false"/>
          <w:i w:val="false"/>
          <w:iCs w:val="false"/>
          <w:sz w:val="24"/>
          <w:szCs w:val="24"/>
          <w:u w:val="none"/>
        </w:rPr>
        <w:t>July 14, 2024</w:t>
      </w:r>
    </w:p>
    <w:p>
      <w:pPr>
        <w:pStyle w:val="Normal1"/>
        <w:pBdr/>
        <w:spacing w:lineRule="auto" w:line="240" w:before="0" w:after="160"/>
        <w:rPr>
          <w:sz w:val="24"/>
          <w:szCs w:val="24"/>
        </w:rPr>
      </w:pPr>
      <w:r>
        <w:rPr>
          <w:b w:val="false"/>
          <w:bCs w:val="false"/>
          <w:i w:val="false"/>
          <w:iCs w:val="false"/>
          <w:u w:val="none"/>
        </w:rPr>
      </w:r>
    </w:p>
    <w:p>
      <w:pPr>
        <w:pStyle w:val="Heading1"/>
        <w:pBdr/>
        <w:spacing w:lineRule="auto" w:line="240" w:before="0" w:after="160"/>
        <w:rPr/>
      </w:pPr>
      <w:bookmarkStart w:id="2" w:name="_5gc778nh764h"/>
      <w:bookmarkEnd w:id="2"/>
      <w:r>
        <w:rPr>
          <w:b/>
          <w:sz w:val="24"/>
          <w:szCs w:val="24"/>
          <w:u w:val="single"/>
        </w:rPr>
        <w:t>June CPI up 0.1% as housing prices jump again</w:t>
      </w:r>
    </w:p>
    <w:p>
      <w:pPr>
        <w:pStyle w:val="Normal5"/>
        <w:spacing w:lineRule="auto" w:line="240" w:before="240" w:after="240"/>
        <w:rPr/>
      </w:pPr>
      <w:r>
        <w:rPr>
          <w:sz w:val="24"/>
          <w:szCs w:val="24"/>
        </w:rPr>
        <w:t>Israel’s Consumer Price Index (CPI) rose 0.1% in June, in line with expectations. In the twelve months to the end of June 2024, the rate of inflation has risen slightly to 2.9% from 2.8% at the end of May, according to figures released by the Central Bureau of Statistics today. Thus inflation remains just below the Bank of Israel's annual target range upper limit of 3%.</w:t>
      </w:r>
    </w:p>
    <w:p>
      <w:pPr>
        <w:pStyle w:val="Normal5"/>
        <w:spacing w:lineRule="auto" w:line="240" w:before="240" w:after="240"/>
        <w:rPr/>
      </w:pPr>
      <w:hyperlink r:id="rId4">
        <w:r>
          <w:rPr>
            <w:b/>
            <w:color w:val="1155CC"/>
            <w:sz w:val="24"/>
            <w:szCs w:val="24"/>
            <w:u w:val="single"/>
          </w:rPr>
          <w:t>https://en.globes.co.il/en/article-june-cpi-up-01-as-housing-prices-jump-again-1001484442</w:t>
        </w:r>
      </w:hyperlink>
      <w:r>
        <w:rPr>
          <w:b/>
          <w:sz w:val="24"/>
          <w:szCs w:val="24"/>
          <w:u w:val="single"/>
        </w:rPr>
        <w:t xml:space="preserve"> </w:t>
      </w:r>
    </w:p>
    <w:p>
      <w:pPr>
        <w:pStyle w:val="Heading1"/>
        <w:keepNext w:val="false"/>
        <w:keepLines w:val="false"/>
        <w:pBdr/>
        <w:spacing w:lineRule="auto" w:line="240" w:before="0" w:after="160"/>
        <w:rPr>
          <w:b w:val="false"/>
          <w:bCs w:val="false"/>
          <w:i w:val="false"/>
          <w:i w:val="false"/>
          <w:iCs w:val="false"/>
          <w:u w:val="none"/>
        </w:rPr>
      </w:pPr>
      <w:r>
        <w:rPr>
          <w:b w:val="false"/>
          <w:bCs w:val="false"/>
          <w:i w:val="false"/>
          <w:iCs w:val="false"/>
          <w:sz w:val="24"/>
          <w:szCs w:val="24"/>
          <w:u w:val="none"/>
        </w:rPr>
        <w:t>July 15, 2024</w:t>
      </w:r>
    </w:p>
    <w:p>
      <w:pPr>
        <w:pStyle w:val="Normal1"/>
        <w:pBdr/>
        <w:spacing w:lineRule="auto" w:line="240" w:before="0" w:after="160"/>
        <w:rPr>
          <w:b/>
          <w:sz w:val="24"/>
          <w:szCs w:val="24"/>
          <w:u w:val="single"/>
        </w:rPr>
      </w:pPr>
      <w:r>
        <w:rPr>
          <w:b w:val="false"/>
          <w:bCs w:val="false"/>
          <w:i w:val="false"/>
          <w:iCs w:val="false"/>
          <w:u w:val="none"/>
        </w:rPr>
      </w:r>
    </w:p>
    <w:p>
      <w:pPr>
        <w:pStyle w:val="Heading1"/>
        <w:keepNext w:val="false"/>
        <w:keepLines w:val="false"/>
        <w:pBdr/>
        <w:shd w:val="clear" w:fill="FFFFFF"/>
        <w:spacing w:lineRule="auto" w:line="240" w:before="0" w:after="0"/>
        <w:rPr/>
      </w:pPr>
      <w:bookmarkStart w:id="3" w:name="_t7lwo0l0kwgb_Copy_1"/>
      <w:bookmarkEnd w:id="3"/>
      <w:r>
        <w:rPr>
          <w:b/>
          <w:color w:val="2D2D2D"/>
          <w:sz w:val="24"/>
          <w:szCs w:val="24"/>
          <w:u w:val="single"/>
        </w:rPr>
        <w:t>Following the war: the entanglement with the blue line of the light rail in Jerusalem will cost the public hundreds of millions of shekels</w:t>
      </w:r>
    </w:p>
    <w:p>
      <w:pPr>
        <w:pStyle w:val="Normal5"/>
        <w:spacing w:lineRule="auto" w:line="240" w:before="240" w:after="240"/>
        <w:rPr/>
      </w:pPr>
      <w:r>
        <w:rPr>
          <w:color w:val="2D2D2D"/>
          <w:sz w:val="24"/>
          <w:szCs w:val="24"/>
          <w:highlight w:val="white"/>
        </w:rPr>
        <w:t xml:space="preserve">The project to establish the blue line of the light rail in Jerusalem became complicated following the war. According to estimates, the delays in the project - which was supposed to open by the end of the decade - will cost the public hundreds of millions of shekels. </w:t>
      </w:r>
    </w:p>
    <w:p>
      <w:pPr>
        <w:pStyle w:val="Normal5"/>
        <w:pBdr/>
        <w:shd w:val="clear" w:fill="FFFFFF"/>
        <w:spacing w:lineRule="auto" w:line="240"/>
        <w:rPr/>
      </w:pPr>
      <w:r>
        <w:rPr>
          <w:color w:val="2D2D2D"/>
          <w:sz w:val="24"/>
          <w:szCs w:val="24"/>
          <w:highlight w:val="white"/>
        </w:rPr>
        <w:t>Following the increase in the level of security risk, international companies are afraid to participate in the project, and others demand a significant additional payment. Apart from that, a delay is expected in the financial closing of the project - a complex procedure, which according to the plans must be completed by the end of 2024. Another delay is expected due to the severe shortage of skilled workers in the infrastructure projects in Israel.</w:t>
      </w:r>
    </w:p>
    <w:p>
      <w:pPr>
        <w:pStyle w:val="Normal5"/>
        <w:pBdr/>
        <w:shd w:val="clear" w:fill="FFFFFF"/>
        <w:spacing w:lineRule="auto" w:line="240"/>
        <w:rPr>
          <w:color w:val="2D2D2D"/>
          <w:sz w:val="24"/>
          <w:szCs w:val="24"/>
          <w:highlight w:val="white"/>
        </w:rPr>
      </w:pPr>
      <w:r>
        <w:rPr>
          <w:color w:val="2D2D2D"/>
          <w:sz w:val="24"/>
          <w:szCs w:val="24"/>
          <w:highlight w:val="white"/>
        </w:rPr>
      </w:r>
    </w:p>
    <w:p>
      <w:pPr>
        <w:pStyle w:val="Normal5"/>
        <w:pBdr/>
        <w:shd w:val="clear" w:fill="FFFFFF"/>
        <w:spacing w:lineRule="auto" w:line="240"/>
        <w:rPr/>
      </w:pPr>
      <w:hyperlink r:id="rId5">
        <w:r>
          <w:rPr>
            <w:color w:val="1155CC"/>
            <w:sz w:val="24"/>
            <w:szCs w:val="24"/>
            <w:highlight w:val="white"/>
            <w:u w:val="single"/>
          </w:rPr>
          <w:t>https://www.themarker.com/dynamo/cars/2024-07-17/ty-article/.premium/00000190-ba15-da51-a19a-fefda61e0000</w:t>
        </w:r>
      </w:hyperlink>
      <w:r>
        <w:rPr>
          <w:color w:val="2D2D2D"/>
          <w:sz w:val="24"/>
          <w:szCs w:val="24"/>
          <w:highlight w:val="white"/>
        </w:rPr>
        <w:t xml:space="preserve"> </w:t>
      </w:r>
    </w:p>
    <w:p>
      <w:pPr>
        <w:pStyle w:val="Normal5"/>
        <w:pBdr/>
        <w:shd w:val="clear" w:fill="FFFFFF"/>
        <w:spacing w:lineRule="auto" w:line="240"/>
        <w:rPr/>
      </w:pPr>
      <w:r>
        <w:rPr/>
      </w:r>
    </w:p>
    <w:p>
      <w:pPr>
        <w:pStyle w:val="Heading1"/>
        <w:keepNext w:val="false"/>
        <w:keepLines w:val="false"/>
        <w:pBdr/>
        <w:spacing w:lineRule="auto" w:line="240" w:before="0" w:after="160"/>
        <w:rPr>
          <w:b w:val="false"/>
          <w:bCs w:val="false"/>
          <w:i w:val="false"/>
          <w:i w:val="false"/>
          <w:iCs w:val="false"/>
          <w:u w:val="none"/>
        </w:rPr>
      </w:pPr>
      <w:r>
        <w:rPr>
          <w:b w:val="false"/>
          <w:bCs w:val="false"/>
          <w:i w:val="false"/>
          <w:iCs w:val="false"/>
          <w:color w:val="2D2D2D"/>
          <w:sz w:val="24"/>
          <w:szCs w:val="24"/>
          <w:highlight w:val="white"/>
          <w:u w:val="none"/>
        </w:rPr>
        <w:t>July 17, 2024</w:t>
      </w:r>
    </w:p>
    <w:p>
      <w:pPr>
        <w:pStyle w:val="Normal5"/>
        <w:pBdr/>
        <w:shd w:val="clear" w:fill="FFFFFF"/>
        <w:spacing w:lineRule="auto" w:line="240"/>
        <w:rPr>
          <w:color w:val="2D2D2D"/>
          <w:sz w:val="24"/>
          <w:szCs w:val="24"/>
          <w:highlight w:val="white"/>
        </w:rPr>
      </w:pPr>
      <w:r>
        <w:rPr>
          <w:color w:val="2D2D2D"/>
          <w:sz w:val="24"/>
          <w:szCs w:val="24"/>
          <w:highlight w:val="white"/>
        </w:rPr>
      </w:r>
    </w:p>
    <w:p>
      <w:pPr>
        <w:pStyle w:val="Heading1"/>
        <w:pBdr/>
        <w:shd w:val="clear" w:fill="FFFFFF"/>
        <w:spacing w:lineRule="auto" w:line="240"/>
        <w:rPr>
          <w:b/>
          <w:bCs/>
          <w:color w:val="2D2D2D"/>
          <w:sz w:val="24"/>
          <w:szCs w:val="24"/>
          <w:highlight w:val="white"/>
          <w:u w:val="single"/>
        </w:rPr>
      </w:pPr>
      <w:bookmarkStart w:id="4" w:name="F_Title_Copy_1"/>
      <w:bookmarkEnd w:id="4"/>
      <w:r>
        <w:rPr>
          <w:b/>
          <w:bCs/>
          <w:color w:val="2D2D2D"/>
          <w:sz w:val="24"/>
          <w:szCs w:val="24"/>
          <w:highlight w:val="white"/>
          <w:u w:val="single"/>
        </w:rPr>
        <w:t>The foreign construction companies are already building a third of the apartments in Israel, and the contractors are not satisfied</w:t>
      </w:r>
    </w:p>
    <w:p>
      <w:pPr>
        <w:pStyle w:val="BodyText"/>
        <w:pBdr/>
        <w:shd w:val="clear" w:fill="FFFFFF"/>
        <w:spacing w:lineRule="auto" w:line="240"/>
        <w:rPr>
          <w:b w:val="false"/>
          <w:bCs w:val="false"/>
          <w:color w:val="2D2D2D"/>
          <w:sz w:val="24"/>
          <w:szCs w:val="24"/>
          <w:highlight w:val="white"/>
          <w:u w:val="none"/>
        </w:rPr>
      </w:pPr>
      <w:r>
        <w:rPr>
          <w:b w:val="false"/>
          <w:bCs w:val="false"/>
          <w:color w:val="2D2D2D"/>
          <w:sz w:val="24"/>
          <w:szCs w:val="24"/>
          <w:highlight w:val="white"/>
          <w:u w:val="none"/>
        </w:rPr>
        <w:t>Last week, the Ministry of Construction and Housing issued a call for foreign construction companies to carry out residential construction work in Israel. The purpose of the move is to expand the number of companies operating in Israel - construction companies that come to Israel with their employees, from junior to senior, and carry out projects in their own organic teams.</w:t>
      </w:r>
    </w:p>
    <w:p>
      <w:pPr>
        <w:pStyle w:val="BodyText"/>
        <w:pBdr/>
        <w:shd w:val="clear" w:fill="FFFFFF"/>
        <w:spacing w:lineRule="auto" w:line="240"/>
        <w:rPr>
          <w:b w:val="false"/>
          <w:bCs w:val="false"/>
          <w:color w:val="2D2D2D"/>
          <w:sz w:val="24"/>
          <w:szCs w:val="24"/>
          <w:highlight w:val="white"/>
          <w:u w:val="none"/>
        </w:rPr>
      </w:pPr>
      <w:r>
        <w:rPr>
          <w:b w:val="false"/>
          <w:bCs w:val="false"/>
          <w:color w:val="2D2D2D"/>
          <w:sz w:val="24"/>
          <w:szCs w:val="24"/>
          <w:highlight w:val="white"/>
          <w:u w:val="none"/>
        </w:rPr>
        <w:t>According to data provided to Globes by the Ministry of Construction and Housing, 11 foreign construction companies are currently active in the Israeli construction industry - most of them from China, and one from Turkey, which is perhaps the best known: Yilmazler International, which participated, among other things, in the construction of the new control tower at Ben Gurion Airport, Sharona Azrieli Tower and YOO in Tel Aviv and the famous solar energy tower in Ashlim. The 11 companies currently employ 9,200 people. In the database designated for these companies, 13 companies are registered, but two of them are not active even though they hold a license.</w:t>
      </w:r>
    </w:p>
    <w:p>
      <w:pPr>
        <w:pStyle w:val="BodyText"/>
        <w:spacing w:lineRule="auto" w:line="240"/>
        <w:rPr/>
      </w:pPr>
      <w:r>
        <w:rPr/>
        <w:br/>
      </w:r>
      <w:hyperlink r:id="rId6">
        <w:r>
          <w:rPr>
            <w:rStyle w:val="Hyperlink"/>
          </w:rPr>
          <w:t>https://www.globes.co.il/news/article.aspx?did=1001484482</w:t>
        </w:r>
      </w:hyperlink>
      <w:hyperlink r:id="rId7">
        <w:r>
          <w:rPr/>
          <w:t xml:space="preserve"> </w:t>
        </w:r>
      </w:hyperlink>
    </w:p>
    <w:p>
      <w:pPr>
        <w:pStyle w:val="BodyText"/>
        <w:spacing w:lineRule="auto" w:line="240"/>
        <w:rPr/>
      </w:pPr>
      <w:r>
        <w:rPr/>
        <w:br/>
      </w:r>
      <w:r>
        <w:rPr>
          <w:b w:val="false"/>
          <w:bCs w:val="false"/>
          <w:i w:val="false"/>
          <w:iCs w:val="false"/>
          <w:color w:val="2D2D2D"/>
          <w:sz w:val="24"/>
          <w:szCs w:val="24"/>
          <w:highlight w:val="white"/>
          <w:u w:val="none"/>
        </w:rPr>
        <w:t>July 18, 2024</w:t>
      </w:r>
    </w:p>
    <w:p>
      <w:pPr>
        <w:pStyle w:val="BodyText"/>
        <w:bidi w:val="0"/>
        <w:spacing w:lineRule="auto" w:line="240"/>
        <w:jc w:val="start"/>
        <w:rPr>
          <w:rFonts w:ascii="Arial" w:hAnsi="Arial"/>
        </w:rPr>
      </w:pPr>
      <w:r>
        <w:rPr/>
      </w:r>
    </w:p>
    <w:p>
      <w:pPr>
        <w:pStyle w:val="BodyText"/>
        <w:bidi w:val="0"/>
        <w:spacing w:lineRule="auto" w:line="240"/>
        <w:jc w:val="start"/>
        <w:rPr/>
      </w:pPr>
      <w:r>
        <w:rPr>
          <w:rStyle w:val="Hyperlink"/>
          <w:rFonts w:eastAsia="Calibri" w:cs="Arial"/>
          <w:b/>
          <w:bCs/>
          <w:i/>
          <w:iCs/>
          <w:caps w:val="false"/>
          <w:smallCaps w:val="false"/>
          <w:color w:val="auto"/>
          <w:spacing w:val="0"/>
          <w:kern w:val="2"/>
          <w:sz w:val="30"/>
          <w:szCs w:val="30"/>
          <w:u w:val="single"/>
          <w:lang w:val="en-US" w:eastAsia="zh-CN" w:bidi="hi-IN"/>
        </w:rPr>
        <w:t>B.Israel-Multilateral</w:t>
      </w:r>
    </w:p>
    <w:p>
      <w:pPr>
        <w:pStyle w:val="Heading1"/>
        <w:keepNext w:val="false"/>
        <w:keepLines w:val="false"/>
        <w:pBdr/>
        <w:spacing w:lineRule="auto" w:line="240" w:before="0" w:after="160"/>
        <w:jc w:val="both"/>
        <w:rPr/>
      </w:pPr>
      <w:bookmarkStart w:id="5" w:name="_5fnqkihnq5xt"/>
      <w:bookmarkEnd w:id="5"/>
      <w:r>
        <w:rPr>
          <w:b/>
          <w:sz w:val="24"/>
          <w:szCs w:val="24"/>
          <w:u w:val="single"/>
        </w:rPr>
        <w:t>Google in advanced talks to buy Wiz for $23b - report</w:t>
      </w:r>
    </w:p>
    <w:p>
      <w:pPr>
        <w:pStyle w:val="Normal5"/>
        <w:spacing w:lineRule="auto" w:line="240" w:before="240" w:after="240"/>
        <w:rPr/>
      </w:pPr>
      <w:r>
        <w:rPr>
          <w:sz w:val="24"/>
          <w:szCs w:val="24"/>
        </w:rPr>
        <w:t xml:space="preserve">Google parent company Alphabet is in advanced talks to buy Israeli cloud security company </w:t>
      </w:r>
      <w:hyperlink r:id="rId8">
        <w:r>
          <w:rPr>
            <w:sz w:val="24"/>
            <w:szCs w:val="24"/>
          </w:rPr>
          <w:t>Wiz</w:t>
        </w:r>
      </w:hyperlink>
      <w:r>
        <w:rPr>
          <w:sz w:val="24"/>
          <w:szCs w:val="24"/>
        </w:rPr>
        <w:t xml:space="preserve"> for $23 billion, "The Wall Street Journal" reports, according to people familiar with the matter, in what would be its largest acquisition ever.Wiz declined to comment on the report.</w:t>
      </w:r>
    </w:p>
    <w:p>
      <w:pPr>
        <w:pStyle w:val="Normal5"/>
        <w:spacing w:lineRule="auto" w:line="240" w:before="240" w:after="240"/>
        <w:rPr/>
      </w:pPr>
      <w:hyperlink r:id="rId9">
        <w:r>
          <w:rPr>
            <w:b w:val="false"/>
            <w:bCs w:val="false"/>
            <w:i w:val="false"/>
            <w:iCs w:val="false"/>
            <w:color w:val="1155CC"/>
            <w:sz w:val="24"/>
            <w:szCs w:val="24"/>
            <w:u w:val="single"/>
          </w:rPr>
          <w:t>https://en.globes.co.il/en/article-google-in-advanced-talks-to-buy-wiz-for-23b-report-1001484350</w:t>
        </w:r>
      </w:hyperlink>
      <w:r>
        <w:rPr>
          <w:b w:val="false"/>
          <w:bCs w:val="false"/>
          <w:i w:val="false"/>
          <w:iCs w:val="false"/>
          <w:color w:val="555555"/>
          <w:sz w:val="24"/>
          <w:szCs w:val="24"/>
          <w:u w:val="none"/>
        </w:rPr>
        <w:t xml:space="preserve"> </w:t>
      </w:r>
    </w:p>
    <w:p>
      <w:pPr>
        <w:pStyle w:val="BodyText"/>
        <w:spacing w:lineRule="auto" w:line="240"/>
        <w:rPr/>
      </w:pPr>
      <w:r>
        <w:rPr>
          <w:b w:val="false"/>
          <w:bCs w:val="false"/>
          <w:i w:val="false"/>
          <w:iCs w:val="false"/>
          <w:color w:val="2D2D2D"/>
          <w:sz w:val="24"/>
          <w:szCs w:val="24"/>
          <w:highlight w:val="white"/>
          <w:u w:val="none"/>
        </w:rPr>
        <w:t>July 1</w:t>
      </w:r>
      <w:r>
        <w:rPr>
          <w:b w:val="false"/>
          <w:bCs w:val="false"/>
          <w:i w:val="false"/>
          <w:iCs w:val="false"/>
          <w:color w:val="2D2D2D"/>
          <w:sz w:val="24"/>
          <w:szCs w:val="24"/>
          <w:highlight w:val="white"/>
          <w:u w:val="none"/>
        </w:rPr>
        <w:t>4</w:t>
      </w:r>
      <w:r>
        <w:rPr>
          <w:b w:val="false"/>
          <w:bCs w:val="false"/>
          <w:i w:val="false"/>
          <w:iCs w:val="false"/>
          <w:color w:val="2D2D2D"/>
          <w:sz w:val="24"/>
          <w:szCs w:val="24"/>
          <w:highlight w:val="white"/>
          <w:u w:val="none"/>
        </w:rPr>
        <w:t>, 2024</w:t>
      </w:r>
    </w:p>
    <w:p>
      <w:pPr>
        <w:pStyle w:val="BodyText"/>
        <w:spacing w:lineRule="auto" w:line="240"/>
        <w:rPr>
          <w:b w:val="false"/>
          <w:bCs w:val="false"/>
          <w:i w:val="false"/>
          <w:i w:val="false"/>
          <w:iCs w:val="false"/>
          <w:color w:val="2D2D2D"/>
          <w:sz w:val="24"/>
          <w:szCs w:val="24"/>
          <w:highlight w:val="white"/>
          <w:u w:val="none"/>
        </w:rPr>
      </w:pPr>
      <w:r>
        <w:rPr/>
      </w:r>
    </w:p>
    <w:p>
      <w:pPr>
        <w:pStyle w:val="Normal"/>
        <w:keepNext w:val="false"/>
        <w:keepLines w:val="false"/>
        <w:pBdr/>
        <w:spacing w:lineRule="auto" w:line="240" w:before="0" w:after="160"/>
        <w:rPr/>
      </w:pPr>
      <w:r>
        <w:rPr>
          <w:b/>
          <w:sz w:val="24"/>
          <w:szCs w:val="24"/>
          <w:u w:val="single"/>
        </w:rPr>
        <w:t>S</w:t>
      </w:r>
      <w:r>
        <w:rPr>
          <w:b/>
          <w:sz w:val="24"/>
          <w:szCs w:val="24"/>
          <w:u w:val="single"/>
        </w:rPr>
        <w:t>hikun &amp; Binui selling Nigeria operations for $100m</w:t>
      </w:r>
    </w:p>
    <w:p>
      <w:pPr>
        <w:pStyle w:val="Normal5"/>
        <w:spacing w:lineRule="auto" w:line="240"/>
        <w:rPr/>
      </w:pPr>
      <w:r>
        <w:rPr>
          <w:sz w:val="24"/>
          <w:szCs w:val="24"/>
        </w:rPr>
        <w:t xml:space="preserve">Israeli construction and building company </w:t>
      </w:r>
      <w:hyperlink r:id="rId10">
        <w:r>
          <w:rPr>
            <w:sz w:val="24"/>
            <w:szCs w:val="24"/>
          </w:rPr>
          <w:t>Shikun &amp; Binui</w:t>
        </w:r>
      </w:hyperlink>
      <w:r>
        <w:rPr>
          <w:sz w:val="24"/>
          <w:szCs w:val="24"/>
        </w:rPr>
        <w:t xml:space="preserve"> (TASE: SKBN) has pulled out of Nigeria after sustaining heavy losses due to the sharp depreciation of the Nigerian currency the naira last year against the US dollar. Shikun &amp; Binui has signed a non-binding memorandum of understanding with a third party to sell its entire infrastructure activity in Nigeria for $100 million (in several installments) - a move that, if realized, would result in a loss in the range of NIS 220-290 million in its 2024 report. </w:t>
      </w:r>
    </w:p>
    <w:p>
      <w:pPr>
        <w:pStyle w:val="Normal5"/>
        <w:spacing w:lineRule="auto" w:line="240"/>
        <w:rPr>
          <w:sz w:val="24"/>
          <w:szCs w:val="24"/>
        </w:rPr>
      </w:pPr>
      <w:r>
        <w:rPr>
          <w:sz w:val="24"/>
          <w:szCs w:val="24"/>
        </w:rPr>
      </w:r>
    </w:p>
    <w:p>
      <w:pPr>
        <w:pStyle w:val="Normal5"/>
        <w:spacing w:lineRule="auto" w:line="240"/>
        <w:rPr/>
      </w:pPr>
      <w:hyperlink r:id="rId11">
        <w:r>
          <w:rPr>
            <w:color w:val="1155CC"/>
            <w:sz w:val="24"/>
            <w:szCs w:val="24"/>
            <w:u w:val="single"/>
          </w:rPr>
          <w:t>https://en.globes.co.il/en/article-shikun-binui-selling-nigeria-operations-for-100m-1001484273</w:t>
        </w:r>
      </w:hyperlink>
      <w:r>
        <w:rPr>
          <w:sz w:val="24"/>
          <w:szCs w:val="24"/>
        </w:rPr>
        <w:t xml:space="preserve"> </w:t>
      </w:r>
    </w:p>
    <w:p>
      <w:pPr>
        <w:pStyle w:val="Normal5"/>
        <w:spacing w:lineRule="auto" w:line="240"/>
        <w:rPr/>
      </w:pPr>
      <w:r>
        <w:rPr/>
      </w:r>
    </w:p>
    <w:p>
      <w:pPr>
        <w:pStyle w:val="BodyText"/>
        <w:spacing w:lineRule="auto" w:line="240"/>
        <w:rPr/>
      </w:pPr>
      <w:r>
        <w:rPr>
          <w:b w:val="false"/>
          <w:bCs w:val="false"/>
          <w:i w:val="false"/>
          <w:iCs w:val="false"/>
          <w:color w:val="2D2D2D"/>
          <w:sz w:val="24"/>
          <w:szCs w:val="24"/>
          <w:highlight w:val="white"/>
          <w:u w:val="none"/>
        </w:rPr>
        <w:t>July 1</w:t>
      </w:r>
      <w:r>
        <w:rPr>
          <w:b w:val="false"/>
          <w:bCs w:val="false"/>
          <w:i w:val="false"/>
          <w:iCs w:val="false"/>
          <w:color w:val="2D2D2D"/>
          <w:sz w:val="24"/>
          <w:szCs w:val="24"/>
          <w:highlight w:val="white"/>
          <w:u w:val="none"/>
        </w:rPr>
        <w:t>4</w:t>
      </w:r>
      <w:r>
        <w:rPr>
          <w:b w:val="false"/>
          <w:bCs w:val="false"/>
          <w:i w:val="false"/>
          <w:iCs w:val="false"/>
          <w:color w:val="2D2D2D"/>
          <w:sz w:val="24"/>
          <w:szCs w:val="24"/>
          <w:highlight w:val="white"/>
          <w:u w:val="none"/>
        </w:rPr>
        <w:t>, 2024</w:t>
      </w:r>
    </w:p>
    <w:p>
      <w:pPr>
        <w:pStyle w:val="Heading1"/>
        <w:pBdr/>
        <w:shd w:val="clear" w:fill="FFFFFF"/>
        <w:spacing w:lineRule="auto" w:line="240"/>
        <w:rPr>
          <w:b/>
          <w:bCs/>
          <w:color w:val="2D2D2D"/>
          <w:sz w:val="24"/>
          <w:szCs w:val="24"/>
          <w:highlight w:val="white"/>
          <w:u w:val="single"/>
        </w:rPr>
      </w:pPr>
      <w:bookmarkStart w:id="6" w:name="F_Title"/>
      <w:bookmarkEnd w:id="6"/>
      <w:r>
        <w:rPr>
          <w:b/>
          <w:bCs/>
          <w:color w:val="2D2D2D"/>
          <w:sz w:val="24"/>
          <w:szCs w:val="24"/>
          <w:highlight w:val="white"/>
          <w:u w:val="single"/>
        </w:rPr>
        <w:t>Edwards Lifesciences buys Israeli co Innovalve Bio Medical</w:t>
      </w:r>
    </w:p>
    <w:p>
      <w:pPr>
        <w:pStyle w:val="BodyText"/>
        <w:pBdr/>
        <w:shd w:val="clear" w:fill="FFFFFF"/>
        <w:spacing w:lineRule="auto" w:line="240"/>
        <w:rPr>
          <w:b/>
          <w:bCs/>
          <w:color w:val="2D2D2D"/>
          <w:sz w:val="24"/>
          <w:szCs w:val="24"/>
          <w:highlight w:val="white"/>
          <w:u w:val="single"/>
        </w:rPr>
      </w:pPr>
      <w:r>
        <w:rPr>
          <w:b w:val="false"/>
          <w:bCs w:val="false"/>
          <w:color w:val="2D2D2D"/>
          <w:sz w:val="24"/>
          <w:szCs w:val="24"/>
          <w:highlight w:val="white"/>
          <w:u w:val="none"/>
        </w:rPr>
        <w:t>Edwards Lifesciences (NYSE: EW) today announced that it is exercising its option to buy Israeli early stage minimally invasive trans-catheter mitral company </w:t>
      </w:r>
      <w:hyperlink r:id="rId12" w:tgtFrame="_blank">
        <w:r>
          <w:rPr>
            <w:rStyle w:val="Hyperlink"/>
            <w:b w:val="false"/>
            <w:bCs w:val="false"/>
            <w:color w:val="2D2D2D"/>
            <w:sz w:val="24"/>
            <w:szCs w:val="24"/>
            <w:highlight w:val="white"/>
            <w:u w:val="none"/>
          </w:rPr>
          <w:t>Innovalve Bio Medical</w:t>
        </w:r>
      </w:hyperlink>
      <w:r>
        <w:rPr>
          <w:b w:val="false"/>
          <w:bCs w:val="false"/>
          <w:color w:val="2D2D2D"/>
          <w:sz w:val="24"/>
          <w:szCs w:val="24"/>
          <w:highlight w:val="white"/>
          <w:u w:val="none"/>
        </w:rPr>
        <w:t>. No financial details were disclosed but the value of the acquisition is estimated at more than $300 million.</w:t>
      </w:r>
    </w:p>
    <w:p>
      <w:pPr>
        <w:pStyle w:val="BodyText"/>
        <w:pBdr/>
        <w:shd w:val="clear" w:fill="FFFFFF"/>
        <w:spacing w:lineRule="auto" w:line="240"/>
        <w:rPr>
          <w:b/>
          <w:bCs/>
          <w:color w:val="2D2D2D"/>
          <w:sz w:val="24"/>
          <w:szCs w:val="24"/>
          <w:highlight w:val="white"/>
          <w:u w:val="single"/>
        </w:rPr>
      </w:pPr>
      <w:hyperlink r:id="rId13">
        <w:r>
          <w:rPr>
            <w:rStyle w:val="Hyperlink"/>
            <w:b w:val="false"/>
            <w:bCs w:val="false"/>
            <w:color w:val="2D2D2D"/>
            <w:sz w:val="24"/>
            <w:szCs w:val="24"/>
            <w:highlight w:val="white"/>
            <w:u w:val="none"/>
          </w:rPr>
          <w:t>https://en.globes.co.il/en/article-edwards-lifesciences-buys-israeli-co-innovalve-bio-medical-1001484422</w:t>
        </w:r>
      </w:hyperlink>
      <w:hyperlink r:id="rId14">
        <w:r>
          <w:rPr>
            <w:b w:val="false"/>
            <w:bCs w:val="false"/>
            <w:color w:val="2D2D2D"/>
            <w:sz w:val="24"/>
            <w:szCs w:val="24"/>
            <w:highlight w:val="white"/>
            <w:u w:val="none"/>
          </w:rPr>
          <w:t xml:space="preserve"> </w:t>
        </w:r>
      </w:hyperlink>
    </w:p>
    <w:p>
      <w:pPr>
        <w:pStyle w:val="BodyText"/>
        <w:spacing w:lineRule="auto" w:line="240"/>
        <w:rPr/>
      </w:pPr>
      <w:r>
        <w:rPr>
          <w:b w:val="false"/>
          <w:bCs w:val="false"/>
          <w:i w:val="false"/>
          <w:iCs w:val="false"/>
          <w:u w:val="none"/>
        </w:rPr>
        <w:t>July 1</w:t>
      </w:r>
      <w:r>
        <w:rPr>
          <w:b w:val="false"/>
          <w:bCs w:val="false"/>
          <w:i w:val="false"/>
          <w:iCs w:val="false"/>
          <w:u w:val="none"/>
        </w:rPr>
        <w:t>5</w:t>
      </w:r>
      <w:r>
        <w:rPr>
          <w:b w:val="false"/>
          <w:bCs w:val="false"/>
          <w:i w:val="false"/>
          <w:iCs w:val="false"/>
          <w:u w:val="none"/>
        </w:rPr>
        <w:t>, 2024</w:t>
      </w:r>
    </w:p>
    <w:p>
      <w:pPr>
        <w:pStyle w:val="BodyText"/>
        <w:pBdr/>
        <w:shd w:val="clear" w:fill="FFFFFF"/>
        <w:spacing w:lineRule="auto" w:line="240"/>
        <w:rPr>
          <w:b w:val="false"/>
          <w:bCs w:val="false"/>
          <w:sz w:val="24"/>
          <w:szCs w:val="24"/>
          <w:u w:val="none"/>
        </w:rPr>
      </w:pPr>
      <w:r>
        <w:rPr>
          <w:b/>
          <w:bCs/>
          <w:color w:val="2D2D2D"/>
          <w:sz w:val="24"/>
          <w:szCs w:val="24"/>
          <w:highlight w:val="white"/>
          <w:u w:val="single"/>
        </w:rPr>
      </w:r>
    </w:p>
    <w:p>
      <w:pPr>
        <w:pStyle w:val="Heading1"/>
        <w:keepNext w:val="false"/>
        <w:keepLines w:val="false"/>
        <w:pBdr/>
        <w:spacing w:lineRule="auto" w:line="240" w:before="0" w:after="160"/>
        <w:rPr/>
      </w:pPr>
      <w:bookmarkStart w:id="7" w:name="_6k886hv88ilx"/>
      <w:bookmarkEnd w:id="7"/>
      <w:r>
        <w:rPr>
          <w:b/>
          <w:sz w:val="24"/>
          <w:szCs w:val="24"/>
          <w:u w:val="single"/>
        </w:rPr>
        <w:t>Centerbridge and Gallatin sell control of Phoenix</w:t>
      </w:r>
    </w:p>
    <w:p>
      <w:pPr>
        <w:pStyle w:val="Normal5"/>
        <w:spacing w:lineRule="auto" w:line="240" w:before="240" w:after="240"/>
        <w:rPr/>
      </w:pPr>
      <w:r>
        <w:rPr>
          <w:sz w:val="24"/>
          <w:szCs w:val="24"/>
        </w:rPr>
        <w:t>Israel's biggest insurance and finance company The Phoenix Holdings (TASE: PHOE) has notified the Tel Aviv Stock Exchange (TASE) that its controlling shareholders Centerbridge Partners and Gallatin Point (31.45%) are selling most of their stake. Centerbridge and Gallatin are selling 21.5% of Phoenix for NIS 2 billion to other investors at NIS 37.5 per share, for a handsome return on their investment.</w:t>
      </w:r>
    </w:p>
    <w:p>
      <w:pPr>
        <w:pStyle w:val="Normal5"/>
        <w:spacing w:lineRule="auto" w:line="240" w:before="240" w:after="240"/>
        <w:rPr/>
      </w:pPr>
      <w:hyperlink r:id="rId15">
        <w:r>
          <w:rPr>
            <w:color w:val="1155CC"/>
            <w:sz w:val="24"/>
            <w:szCs w:val="24"/>
            <w:u w:val="single"/>
          </w:rPr>
          <w:t>https://en.globes.co.il/en/article-centerbridge-and-gallatin-sell-control-of-phoenix-1001484463</w:t>
        </w:r>
      </w:hyperlink>
      <w:r>
        <w:rPr>
          <w:color w:val="555555"/>
          <w:sz w:val="24"/>
          <w:szCs w:val="24"/>
        </w:rPr>
        <w:t xml:space="preserve"> </w:t>
      </w:r>
    </w:p>
    <w:p>
      <w:pPr>
        <w:pStyle w:val="BodyText"/>
        <w:spacing w:lineRule="auto" w:line="240"/>
        <w:rPr/>
      </w:pPr>
      <w:r>
        <w:rPr>
          <w:b w:val="false"/>
          <w:bCs w:val="false"/>
          <w:i w:val="false"/>
          <w:iCs w:val="false"/>
          <w:color w:val="2D2D2D"/>
          <w:sz w:val="24"/>
          <w:szCs w:val="24"/>
          <w:highlight w:val="white"/>
          <w:u w:val="none"/>
        </w:rPr>
        <w:t>July 1</w:t>
      </w:r>
      <w:r>
        <w:rPr>
          <w:b w:val="false"/>
          <w:bCs w:val="false"/>
          <w:i w:val="false"/>
          <w:iCs w:val="false"/>
          <w:color w:val="2D2D2D"/>
          <w:sz w:val="24"/>
          <w:szCs w:val="24"/>
          <w:highlight w:val="white"/>
          <w:u w:val="none"/>
        </w:rPr>
        <w:t>6</w:t>
      </w:r>
      <w:r>
        <w:rPr>
          <w:b w:val="false"/>
          <w:bCs w:val="false"/>
          <w:i w:val="false"/>
          <w:iCs w:val="false"/>
          <w:color w:val="2D2D2D"/>
          <w:sz w:val="24"/>
          <w:szCs w:val="24"/>
          <w:highlight w:val="white"/>
          <w:u w:val="none"/>
        </w:rPr>
        <w:t xml:space="preserve">, 2024 </w:t>
      </w:r>
    </w:p>
    <w:p>
      <w:pPr>
        <w:pStyle w:val="BodyText"/>
        <w:spacing w:lineRule="auto" w:line="240"/>
        <w:rPr>
          <w:b w:val="false"/>
          <w:bCs w:val="false"/>
          <w:i w:val="false"/>
          <w:i w:val="false"/>
          <w:iCs w:val="false"/>
          <w:color w:val="2D2D2D"/>
          <w:sz w:val="24"/>
          <w:szCs w:val="24"/>
          <w:highlight w:val="white"/>
          <w:u w:val="none"/>
        </w:rPr>
      </w:pPr>
      <w:r>
        <w:rPr/>
      </w:r>
    </w:p>
    <w:p>
      <w:pPr>
        <w:pStyle w:val="Heading1"/>
        <w:pBdr/>
        <w:shd w:val="clear" w:fill="FFFFFF"/>
        <w:spacing w:lineRule="auto" w:line="240" w:before="0" w:after="0"/>
        <w:rPr/>
      </w:pPr>
      <w:bookmarkStart w:id="8" w:name="_t7lwo0l0kwgb"/>
      <w:bookmarkEnd w:id="8"/>
      <w:r>
        <w:rPr>
          <w:b/>
          <w:color w:val="2D2D2D"/>
          <w:sz w:val="24"/>
          <w:szCs w:val="24"/>
          <w:u w:val="single"/>
        </w:rPr>
        <w:t>Following the war: the entanglement with the blue line of the light rail in Jerusalem will cost the public hundreds of millions of shekels</w:t>
      </w:r>
    </w:p>
    <w:p>
      <w:pPr>
        <w:pStyle w:val="Normal5"/>
        <w:spacing w:lineRule="auto" w:line="240" w:before="240" w:after="240"/>
        <w:rPr/>
      </w:pPr>
      <w:r>
        <w:rPr>
          <w:color w:val="2D2D2D"/>
          <w:sz w:val="24"/>
          <w:szCs w:val="24"/>
          <w:highlight w:val="white"/>
        </w:rPr>
        <w:t xml:space="preserve">The project to establish the blue line of the light rail in Jerusalem became complicated following the war. According to estimates, the delays in the project - which was supposed to open by the end of the decade - will cost the public hundreds of millions of shekels. </w:t>
      </w:r>
    </w:p>
    <w:p>
      <w:pPr>
        <w:pStyle w:val="Normal5"/>
        <w:pBdr/>
        <w:shd w:val="clear" w:fill="FFFFFF"/>
        <w:spacing w:lineRule="auto" w:line="240"/>
        <w:rPr/>
      </w:pPr>
      <w:r>
        <w:rPr>
          <w:color w:val="2D2D2D"/>
          <w:sz w:val="24"/>
          <w:szCs w:val="24"/>
          <w:highlight w:val="white"/>
        </w:rPr>
        <w:t>Following the increase in the level of security risk, international companies are afraid to participate in the project, and others demand a significant additional payment. Apart from that, a delay is expected in the financial closing of the project - a complex procedure, which according to the plans must be completed by the end of 2024. Another delay is expected due to the severe shortage of skilled workers in the infrastructure projects in Israel.</w:t>
      </w:r>
    </w:p>
    <w:p>
      <w:pPr>
        <w:pStyle w:val="Normal5"/>
        <w:pBdr/>
        <w:shd w:val="clear" w:fill="FFFFFF"/>
        <w:spacing w:lineRule="auto" w:line="240"/>
        <w:rPr>
          <w:color w:val="2D2D2D"/>
          <w:sz w:val="24"/>
          <w:szCs w:val="24"/>
          <w:highlight w:val="white"/>
        </w:rPr>
      </w:pPr>
      <w:r>
        <w:rPr>
          <w:color w:val="2D2D2D"/>
          <w:sz w:val="24"/>
          <w:szCs w:val="24"/>
          <w:highlight w:val="white"/>
        </w:rPr>
      </w:r>
    </w:p>
    <w:p>
      <w:pPr>
        <w:pStyle w:val="Normal5"/>
        <w:pBdr/>
        <w:shd w:val="clear" w:fill="FFFFFF"/>
        <w:spacing w:lineRule="auto" w:line="240"/>
        <w:rPr/>
      </w:pPr>
      <w:hyperlink r:id="rId16">
        <w:r>
          <w:rPr>
            <w:color w:val="1155CC"/>
            <w:sz w:val="24"/>
            <w:szCs w:val="24"/>
            <w:highlight w:val="white"/>
            <w:u w:val="single"/>
          </w:rPr>
          <w:t>https://www.themarker.com/dynamo/cars/2024-07-17/ty-article/.premium/00000190-ba15-da51-a19a-fefda61e0000</w:t>
        </w:r>
      </w:hyperlink>
      <w:r>
        <w:rPr>
          <w:color w:val="2D2D2D"/>
          <w:sz w:val="24"/>
          <w:szCs w:val="24"/>
          <w:highlight w:val="white"/>
        </w:rPr>
        <w:t xml:space="preserve"> </w:t>
      </w:r>
    </w:p>
    <w:p>
      <w:pPr>
        <w:pStyle w:val="BodyText"/>
        <w:spacing w:lineRule="auto" w:line="240"/>
        <w:rPr/>
      </w:pPr>
      <w:r>
        <w:rPr>
          <w:b w:val="false"/>
          <w:bCs w:val="false"/>
          <w:i w:val="false"/>
          <w:iCs w:val="false"/>
          <w:color w:val="2D2D2D"/>
          <w:sz w:val="24"/>
          <w:szCs w:val="24"/>
          <w:highlight w:val="white"/>
          <w:u w:val="none"/>
        </w:rPr>
        <w:t>July 1</w:t>
      </w:r>
      <w:r>
        <w:rPr>
          <w:b w:val="false"/>
          <w:bCs w:val="false"/>
          <w:i w:val="false"/>
          <w:iCs w:val="false"/>
          <w:color w:val="2D2D2D"/>
          <w:sz w:val="24"/>
          <w:szCs w:val="24"/>
          <w:highlight w:val="white"/>
          <w:u w:val="none"/>
        </w:rPr>
        <w:t>7</w:t>
      </w:r>
      <w:r>
        <w:rPr>
          <w:b w:val="false"/>
          <w:bCs w:val="false"/>
          <w:i w:val="false"/>
          <w:iCs w:val="false"/>
          <w:color w:val="2D2D2D"/>
          <w:sz w:val="24"/>
          <w:szCs w:val="24"/>
          <w:highlight w:val="white"/>
          <w:u w:val="none"/>
        </w:rPr>
        <w:t>, 2024</w:t>
      </w:r>
    </w:p>
    <w:p>
      <w:pPr>
        <w:pStyle w:val="BodyText"/>
        <w:spacing w:lineRule="auto" w:line="240"/>
        <w:rPr>
          <w:b w:val="false"/>
          <w:bCs w:val="false"/>
          <w:i w:val="false"/>
          <w:i w:val="false"/>
          <w:iCs w:val="false"/>
          <w:color w:val="2D2D2D"/>
          <w:sz w:val="24"/>
          <w:szCs w:val="24"/>
          <w:highlight w:val="white"/>
          <w:u w:val="none"/>
        </w:rPr>
      </w:pPr>
      <w:r>
        <w:rPr/>
      </w:r>
    </w:p>
    <w:p>
      <w:pPr>
        <w:pStyle w:val="Heading1"/>
        <w:spacing w:lineRule="auto" w:line="240" w:before="0" w:after="0"/>
        <w:ind w:hanging="0" w:start="0" w:end="0"/>
        <w:rPr>
          <w:b/>
          <w:bCs/>
          <w:sz w:val="24"/>
          <w:szCs w:val="24"/>
          <w:u w:val="single"/>
        </w:rPr>
      </w:pPr>
      <w:r>
        <w:rPr>
          <w:b/>
          <w:bCs/>
          <w:sz w:val="24"/>
          <w:szCs w:val="24"/>
          <w:u w:val="single"/>
        </w:rPr>
        <w:t>Amdocs set to cut 1,500-3,000 jobs in new round of layoffs</w:t>
      </w:r>
    </w:p>
    <w:p>
      <w:pPr>
        <w:pStyle w:val="Heading1"/>
        <w:spacing w:lineRule="auto" w:line="240" w:before="0" w:after="0"/>
        <w:ind w:hanging="0" w:start="0" w:end="0"/>
        <w:rPr/>
      </w:pPr>
      <w:r>
        <w:rPr/>
      </w:r>
    </w:p>
    <w:p>
      <w:pPr>
        <w:pStyle w:val="Normal"/>
        <w:spacing w:lineRule="auto" w:line="240" w:before="0" w:after="0"/>
        <w:ind w:hanging="0" w:start="0" w:end="0"/>
        <w:rPr/>
      </w:pPr>
      <w:r>
        <w:rPr/>
        <w:t>Software giant Amdocs is preparing for another wave of layoffs affecting 5%-10% of its 29,000 employees, Calcalist has learned. Hearings are expected to commence in Israel and around the world over the next few weeks.</w:t>
      </w:r>
      <w:r>
        <w:rPr/>
        <w:t>Currently, the company employs about 5,000 workers in Israel, and a significant portion of this workforce is expected to be affected by the upcoming layoffs.</w:t>
      </w:r>
    </w:p>
    <w:p>
      <w:pPr>
        <w:pStyle w:val="Normal"/>
        <w:spacing w:lineRule="auto" w:line="240" w:before="0" w:after="0"/>
        <w:ind w:hanging="0" w:start="0" w:end="0"/>
        <w:rPr/>
      </w:pPr>
      <w:r>
        <w:rPr/>
      </w:r>
    </w:p>
    <w:p>
      <w:pPr>
        <w:pStyle w:val="Normal"/>
        <w:spacing w:lineRule="auto" w:line="240" w:before="0" w:after="0"/>
        <w:ind w:hanging="0" w:start="0" w:end="0"/>
        <w:rPr/>
      </w:pPr>
      <w:hyperlink r:id="rId17">
        <w:r>
          <w:rPr>
            <w:rStyle w:val="Hyperlink"/>
          </w:rPr>
          <w:t>https://www.calcalistech.com/ctechnews/article/skg4nviur</w:t>
        </w:r>
      </w:hyperlink>
      <w:hyperlink r:id="rId18">
        <w:r>
          <w:rPr/>
          <w:t xml:space="preserve"> </w:t>
        </w:r>
      </w:hyperlink>
    </w:p>
    <w:p>
      <w:pPr>
        <w:pStyle w:val="BodyText"/>
        <w:spacing w:lineRule="auto" w:line="240"/>
        <w:rPr>
          <w:b w:val="false"/>
          <w:bCs w:val="false"/>
          <w:i w:val="false"/>
          <w:i w:val="false"/>
          <w:iCs w:val="false"/>
          <w:color w:val="2D2D2D"/>
          <w:sz w:val="24"/>
          <w:szCs w:val="24"/>
          <w:highlight w:val="white"/>
          <w:u w:val="none"/>
        </w:rPr>
      </w:pPr>
      <w:r>
        <w:rPr/>
      </w:r>
    </w:p>
    <w:p>
      <w:pPr>
        <w:pStyle w:val="BodyText"/>
        <w:spacing w:lineRule="auto" w:line="240"/>
        <w:rPr/>
      </w:pPr>
      <w:r>
        <w:rPr>
          <w:b w:val="false"/>
          <w:bCs w:val="false"/>
          <w:i w:val="false"/>
          <w:iCs w:val="false"/>
          <w:color w:val="2D2D2D"/>
          <w:sz w:val="24"/>
          <w:szCs w:val="24"/>
          <w:highlight w:val="white"/>
          <w:u w:val="none"/>
        </w:rPr>
        <w:t>July 1</w:t>
      </w:r>
      <w:r>
        <w:rPr>
          <w:b w:val="false"/>
          <w:bCs w:val="false"/>
          <w:i w:val="false"/>
          <w:iCs w:val="false"/>
          <w:color w:val="2D2D2D"/>
          <w:sz w:val="24"/>
          <w:szCs w:val="24"/>
          <w:highlight w:val="white"/>
          <w:u w:val="none"/>
        </w:rPr>
        <w:t>7</w:t>
      </w:r>
      <w:r>
        <w:rPr>
          <w:b w:val="false"/>
          <w:bCs w:val="false"/>
          <w:i w:val="false"/>
          <w:iCs w:val="false"/>
          <w:color w:val="2D2D2D"/>
          <w:sz w:val="24"/>
          <w:szCs w:val="24"/>
          <w:highlight w:val="white"/>
          <w:u w:val="none"/>
        </w:rPr>
        <w:t>, 2024</w:t>
      </w:r>
    </w:p>
    <w:p>
      <w:pPr>
        <w:pStyle w:val="BodyText"/>
        <w:bidi w:val="0"/>
        <w:spacing w:lineRule="auto" w:line="240"/>
        <w:jc w:val="start"/>
        <w:rPr/>
      </w:pPr>
      <w:r>
        <w:rPr>
          <w:rStyle w:val="Hyperlink"/>
          <w:rFonts w:eastAsia="Calibri" w:cs="Arial" w:ascii="Georgia" w:hAnsi="Georgia"/>
          <w:b/>
          <w:bCs/>
          <w:i/>
          <w:iCs/>
          <w:caps w:val="false"/>
          <w:smallCaps w:val="false"/>
          <w:color w:val="auto"/>
          <w:spacing w:val="0"/>
          <w:kern w:val="2"/>
          <w:sz w:val="24"/>
          <w:szCs w:val="24"/>
          <w:lang w:val="en-US" w:eastAsia="zh-CN" w:bidi="hi-IN"/>
        </w:rPr>
        <w:t>C. Tenders</w:t>
      </w:r>
    </w:p>
    <w:p>
      <w:pPr>
        <w:pStyle w:val="BodyText"/>
        <w:bidi w:val="0"/>
        <w:spacing w:lineRule="auto" w:line="240"/>
        <w:jc w:val="start"/>
        <w:rPr>
          <w:rStyle w:val="Hyperlink"/>
          <w:rFonts w:ascii="Georgia" w:hAnsi="Georgia" w:eastAsia="Calibri" w:cs="Arial"/>
          <w:b/>
          <w:bCs/>
          <w:i/>
          <w:i/>
          <w:iCs/>
          <w:caps w:val="false"/>
          <w:smallCaps w:val="false"/>
          <w:color w:val="auto"/>
          <w:spacing w:val="0"/>
          <w:kern w:val="2"/>
          <w:sz w:val="24"/>
          <w:szCs w:val="24"/>
          <w:lang w:val="en-US" w:eastAsia="zh-CN" w:bidi="hi-IN"/>
        </w:rPr>
      </w:pPr>
      <w:r>
        <w:rPr>
          <w:rFonts w:eastAsia="Calibri" w:cs="Arial" w:ascii="Georgia" w:hAnsi="Georgia"/>
          <w:b/>
          <w:bCs/>
          <w:i/>
          <w:iCs/>
          <w:caps w:val="false"/>
          <w:smallCaps w:val="false"/>
          <w:color w:val="auto"/>
          <w:spacing w:val="0"/>
          <w:kern w:val="2"/>
          <w:sz w:val="24"/>
          <w:szCs w:val="24"/>
          <w:lang w:val="en-US" w:eastAsia="zh-CN" w:bidi="hi-IN"/>
        </w:rPr>
      </w:r>
    </w:p>
    <w:tbl>
      <w:tblPr>
        <w:tblW w:w="10543" w:type="dxa"/>
        <w:jc w:val="start"/>
        <w:tblInd w:w="-691" w:type="dxa"/>
        <w:tblLayout w:type="fixed"/>
        <w:tblCellMar>
          <w:top w:w="0" w:type="dxa"/>
          <w:start w:w="108" w:type="dxa"/>
          <w:bottom w:w="0" w:type="dxa"/>
          <w:end w:w="108" w:type="dxa"/>
        </w:tblCellMar>
        <w:tblLook w:val="04a0" w:noHBand="0" w:noVBand="1" w:firstColumn="1" w:lastRow="0" w:lastColumn="0" w:firstRow="1"/>
      </w:tblPr>
      <w:tblGrid>
        <w:gridCol w:w="1750"/>
        <w:gridCol w:w="1788"/>
        <w:gridCol w:w="4412"/>
        <w:gridCol w:w="2592"/>
      </w:tblGrid>
      <w:tr>
        <w:trPr>
          <w:trHeight w:val="583" w:hRule="atLeast"/>
        </w:trPr>
        <w:tc>
          <w:tcPr>
            <w:tcW w:w="1750" w:type="dxa"/>
            <w:tcBorders>
              <w:top w:val="single" w:sz="4" w:space="0" w:color="000000"/>
              <w:start w:val="single" w:sz="4" w:space="0" w:color="000000"/>
              <w:bottom w:val="single" w:sz="4" w:space="0" w:color="000000"/>
              <w:end w:val="single" w:sz="4" w:space="0" w:color="000000"/>
            </w:tcBorders>
          </w:tcPr>
          <w:p>
            <w:pPr>
              <w:pStyle w:val="Normal"/>
              <w:widowControl w:val="false"/>
              <w:bidi w:val="0"/>
              <w:spacing w:lineRule="auto" w:line="240" w:before="0" w:after="160"/>
              <w:jc w:val="both"/>
              <w:rPr>
                <w:sz w:val="24"/>
                <w:szCs w:val="24"/>
              </w:rPr>
            </w:pPr>
            <w:r>
              <w:rPr>
                <w:sz w:val="24"/>
                <w:szCs w:val="24"/>
              </w:rPr>
              <w:t>Company</w:t>
            </w:r>
          </w:p>
        </w:tc>
        <w:tc>
          <w:tcPr>
            <w:tcW w:w="1788" w:type="dxa"/>
            <w:tcBorders>
              <w:top w:val="single" w:sz="4" w:space="0" w:color="000000"/>
              <w:start w:val="single" w:sz="4" w:space="0" w:color="000000"/>
              <w:bottom w:val="single" w:sz="4" w:space="0" w:color="000000"/>
              <w:end w:val="single" w:sz="4" w:space="0" w:color="000000"/>
            </w:tcBorders>
          </w:tcPr>
          <w:p>
            <w:pPr>
              <w:pStyle w:val="Normal"/>
              <w:widowControl w:val="false"/>
              <w:bidi w:val="0"/>
              <w:spacing w:lineRule="auto" w:line="240" w:before="0" w:after="160"/>
              <w:jc w:val="both"/>
              <w:rPr>
                <w:sz w:val="24"/>
                <w:szCs w:val="24"/>
              </w:rPr>
            </w:pPr>
            <w:r>
              <w:rPr>
                <w:sz w:val="24"/>
                <w:szCs w:val="24"/>
              </w:rPr>
              <w:t xml:space="preserve">Contact </w:t>
            </w:r>
          </w:p>
        </w:tc>
        <w:tc>
          <w:tcPr>
            <w:tcW w:w="4412" w:type="dxa"/>
            <w:tcBorders>
              <w:top w:val="single" w:sz="4" w:space="0" w:color="000000"/>
              <w:start w:val="single" w:sz="4" w:space="0" w:color="000000"/>
              <w:bottom w:val="single" w:sz="4" w:space="0" w:color="000000"/>
              <w:end w:val="single" w:sz="4" w:space="0" w:color="000000"/>
            </w:tcBorders>
          </w:tcPr>
          <w:p>
            <w:pPr>
              <w:pStyle w:val="Normal"/>
              <w:widowControl w:val="false"/>
              <w:bidi w:val="0"/>
              <w:spacing w:lineRule="auto" w:line="240" w:before="0" w:after="160"/>
              <w:jc w:val="both"/>
              <w:rPr>
                <w:sz w:val="24"/>
                <w:szCs w:val="24"/>
              </w:rPr>
            </w:pPr>
            <w:r>
              <w:rPr>
                <w:sz w:val="24"/>
                <w:szCs w:val="24"/>
              </w:rPr>
              <w:t xml:space="preserve">Description </w:t>
            </w:r>
          </w:p>
        </w:tc>
        <w:tc>
          <w:tcPr>
            <w:tcW w:w="2592" w:type="dxa"/>
            <w:tcBorders>
              <w:top w:val="single" w:sz="4" w:space="0" w:color="000000"/>
              <w:start w:val="single" w:sz="4" w:space="0" w:color="000000"/>
              <w:bottom w:val="single" w:sz="4" w:space="0" w:color="000000"/>
              <w:end w:val="single" w:sz="4" w:space="0" w:color="000000"/>
            </w:tcBorders>
          </w:tcPr>
          <w:p>
            <w:pPr>
              <w:pStyle w:val="Normal"/>
              <w:widowControl w:val="false"/>
              <w:bidi w:val="0"/>
              <w:spacing w:lineRule="auto" w:line="240" w:before="0" w:after="160"/>
              <w:jc w:val="both"/>
              <w:rPr>
                <w:sz w:val="24"/>
                <w:szCs w:val="24"/>
              </w:rPr>
            </w:pPr>
            <w:r>
              <w:rPr>
                <w:sz w:val="24"/>
                <w:szCs w:val="24"/>
              </w:rPr>
              <w:t>Submission Date</w:t>
            </w:r>
          </w:p>
        </w:tc>
      </w:tr>
      <w:tr>
        <w:trPr>
          <w:trHeight w:val="959" w:hRule="atLeast"/>
        </w:trPr>
        <w:tc>
          <w:tcPr>
            <w:tcW w:w="1750" w:type="dxa"/>
            <w:tcBorders>
              <w:start w:val="single" w:sz="4" w:space="0" w:color="000000"/>
              <w:bottom w:val="single" w:sz="4" w:space="0" w:color="000000"/>
              <w:end w:val="single" w:sz="4" w:space="0" w:color="000000"/>
            </w:tcBorders>
          </w:tcPr>
          <w:p>
            <w:pPr>
              <w:pStyle w:val="Heading3"/>
              <w:widowControl w:val="false"/>
              <w:bidi w:val="0"/>
              <w:spacing w:lineRule="auto" w:line="240" w:before="0" w:after="160"/>
              <w:jc w:val="both"/>
              <w:rPr>
                <w:rFonts w:ascii="Liberation Serif" w:hAnsi="Liberation Serif"/>
                <w:sz w:val="24"/>
                <w:szCs w:val="24"/>
              </w:rPr>
            </w:pPr>
            <w:r>
              <w:rPr>
                <w:sz w:val="24"/>
                <w:szCs w:val="24"/>
              </w:rPr>
              <w:t>Israel Aviation Authority</w:t>
            </w:r>
          </w:p>
        </w:tc>
        <w:tc>
          <w:tcPr>
            <w:tcW w:w="1788" w:type="dxa"/>
            <w:tcBorders>
              <w:start w:val="single" w:sz="4" w:space="0" w:color="000000"/>
              <w:bottom w:val="single" w:sz="4" w:space="0" w:color="000000"/>
              <w:end w:val="single" w:sz="4" w:space="0" w:color="000000"/>
            </w:tcBorders>
          </w:tcPr>
          <w:p>
            <w:pPr>
              <w:pStyle w:val="BodyText"/>
              <w:widowControl w:val="false"/>
              <w:bidi w:val="0"/>
              <w:spacing w:lineRule="auto" w:line="240" w:before="0" w:after="140"/>
              <w:jc w:val="both"/>
              <w:rPr>
                <w:rFonts w:ascii="Liberation Serif" w:hAnsi="Liberation Serif"/>
                <w:sz w:val="24"/>
                <w:szCs w:val="24"/>
              </w:rPr>
            </w:pPr>
            <w:hyperlink r:id="rId19">
              <w:r>
                <w:rPr>
                  <w:rStyle w:val="Hyperlink"/>
                  <w:rFonts w:ascii="Liberation Serif" w:hAnsi="Liberation Serif"/>
                  <w:sz w:val="24"/>
                  <w:szCs w:val="24"/>
                </w:rPr>
                <w:t>michaelgr2@iaa.gov.il</w:t>
              </w:r>
            </w:hyperlink>
            <w:r>
              <w:rPr>
                <w:rFonts w:ascii="Liberation Serif" w:hAnsi="Liberation Serif"/>
                <w:sz w:val="24"/>
                <w:szCs w:val="24"/>
              </w:rPr>
              <w:t xml:space="preserve"> </w:t>
            </w:r>
          </w:p>
        </w:tc>
        <w:tc>
          <w:tcPr>
            <w:tcW w:w="4412" w:type="dxa"/>
            <w:tcBorders>
              <w:start w:val="single" w:sz="4" w:space="0" w:color="000000"/>
              <w:bottom w:val="single" w:sz="4" w:space="0" w:color="000000"/>
              <w:end w:val="single" w:sz="4" w:space="0" w:color="000000"/>
            </w:tcBorders>
          </w:tcPr>
          <w:p>
            <w:pPr>
              <w:pStyle w:val="Normal"/>
              <w:widowControl w:val="false"/>
              <w:bidi w:val="0"/>
              <w:spacing w:lineRule="auto" w:line="240" w:before="0" w:after="140"/>
              <w:jc w:val="both"/>
              <w:rPr>
                <w:rFonts w:ascii="Liberation Serif" w:hAnsi="Liberation Serif"/>
                <w:sz w:val="24"/>
                <w:szCs w:val="24"/>
              </w:rPr>
            </w:pPr>
            <w:r>
              <w:rPr>
                <w:rFonts w:ascii="Liberation Serif" w:hAnsi="Liberation Serif"/>
                <w:sz w:val="24"/>
                <w:szCs w:val="24"/>
              </w:rPr>
              <w:t>Supply of Light Firefighting Vehicle</w:t>
            </w:r>
          </w:p>
          <w:p>
            <w:pPr>
              <w:pStyle w:val="Normal"/>
              <w:widowControl w:val="false"/>
              <w:bidi w:val="0"/>
              <w:spacing w:lineRule="auto" w:line="240" w:before="0" w:after="140"/>
              <w:jc w:val="both"/>
              <w:rPr>
                <w:rFonts w:ascii="Liberation Serif" w:hAnsi="Liberation Serif"/>
                <w:sz w:val="24"/>
                <w:szCs w:val="24"/>
              </w:rPr>
            </w:pPr>
            <w:hyperlink r:id="rId20">
              <w:r>
                <w:rPr>
                  <w:rStyle w:val="Hyperlink"/>
                  <w:rFonts w:ascii="Liberation Serif" w:hAnsi="Liberation Serif"/>
                  <w:sz w:val="24"/>
                  <w:szCs w:val="24"/>
                </w:rPr>
                <w:t>https://files.iaa.gov.il/tenders/2024/Logistics/Michael%20grinberg/Tenders_s/2023_070_0192_00/Log_RFP_2023_070_0192_00.pdf</w:t>
              </w:r>
            </w:hyperlink>
            <w:hyperlink r:id="rId21">
              <w:r>
                <w:rPr>
                  <w:rFonts w:ascii="Liberation Serif" w:hAnsi="Liberation Serif"/>
                  <w:sz w:val="24"/>
                  <w:szCs w:val="24"/>
                </w:rPr>
                <w:t xml:space="preserve"> </w:t>
              </w:r>
            </w:hyperlink>
          </w:p>
          <w:p>
            <w:pPr>
              <w:pStyle w:val="Normal"/>
              <w:widowControl w:val="false"/>
              <w:bidi w:val="0"/>
              <w:spacing w:lineRule="auto" w:line="240" w:before="0" w:after="140"/>
              <w:jc w:val="both"/>
              <w:rPr>
                <w:rFonts w:ascii="Liberation Serif" w:hAnsi="Liberation Serif"/>
                <w:sz w:val="24"/>
                <w:szCs w:val="24"/>
              </w:rPr>
            </w:pPr>
            <w:r>
              <w:rPr>
                <w:rFonts w:ascii="Liberation Serif" w:hAnsi="Liberation Serif"/>
                <w:sz w:val="24"/>
                <w:szCs w:val="24"/>
              </w:rPr>
            </w:r>
          </w:p>
        </w:tc>
        <w:tc>
          <w:tcPr>
            <w:tcW w:w="2592" w:type="dxa"/>
            <w:tcBorders>
              <w:start w:val="single" w:sz="4" w:space="0" w:color="000000"/>
              <w:bottom w:val="single" w:sz="4" w:space="0" w:color="000000"/>
              <w:end w:val="single" w:sz="4" w:space="0" w:color="000000"/>
            </w:tcBorders>
          </w:tcPr>
          <w:p>
            <w:pPr>
              <w:pStyle w:val="Normal"/>
              <w:widowControl w:val="false"/>
              <w:bidi w:val="0"/>
              <w:spacing w:lineRule="auto" w:line="240" w:before="0" w:after="160"/>
              <w:jc w:val="both"/>
              <w:rPr>
                <w:rFonts w:ascii="Liberation Serif" w:hAnsi="Liberation Serif"/>
                <w:sz w:val="24"/>
                <w:szCs w:val="24"/>
              </w:rPr>
            </w:pPr>
            <w:r>
              <w:rPr>
                <w:rFonts w:ascii="Liberation Serif" w:hAnsi="Liberation Serif"/>
                <w:sz w:val="24"/>
                <w:szCs w:val="24"/>
              </w:rPr>
              <w:t>25/08/2024</w:t>
            </w:r>
          </w:p>
        </w:tc>
      </w:tr>
      <w:tr>
        <w:trPr>
          <w:trHeight w:val="959" w:hRule="atLeast"/>
        </w:trPr>
        <w:tc>
          <w:tcPr>
            <w:tcW w:w="1750" w:type="dxa"/>
            <w:tcBorders>
              <w:start w:val="single" w:sz="4" w:space="0" w:color="000000"/>
              <w:bottom w:val="single" w:sz="4" w:space="0" w:color="000000"/>
              <w:end w:val="single" w:sz="4" w:space="0" w:color="000000"/>
            </w:tcBorders>
          </w:tcPr>
          <w:p>
            <w:pPr>
              <w:pStyle w:val="Heading3"/>
              <w:widowControl w:val="false"/>
              <w:bidi w:val="0"/>
              <w:spacing w:lineRule="auto" w:line="240" w:before="0" w:after="160"/>
              <w:jc w:val="both"/>
              <w:rPr>
                <w:rFonts w:ascii="Liberation Serif" w:hAnsi="Liberation Serif"/>
                <w:sz w:val="24"/>
                <w:szCs w:val="24"/>
              </w:rPr>
            </w:pPr>
            <w:r>
              <w:rPr/>
            </w:r>
          </w:p>
        </w:tc>
        <w:tc>
          <w:tcPr>
            <w:tcW w:w="1788" w:type="dxa"/>
            <w:tcBorders>
              <w:start w:val="single" w:sz="4" w:space="0" w:color="000000"/>
              <w:bottom w:val="single" w:sz="4" w:space="0" w:color="000000"/>
              <w:end w:val="single" w:sz="4" w:space="0" w:color="000000"/>
            </w:tcBorders>
          </w:tcPr>
          <w:p>
            <w:pPr>
              <w:pStyle w:val="BodyText"/>
              <w:widowControl w:val="false"/>
              <w:bidi w:val="0"/>
              <w:spacing w:lineRule="auto" w:line="240" w:before="0" w:after="140"/>
              <w:jc w:val="both"/>
              <w:rPr>
                <w:rFonts w:ascii="Liberation Serif" w:hAnsi="Liberation Serif"/>
                <w:sz w:val="24"/>
                <w:szCs w:val="24"/>
              </w:rPr>
            </w:pPr>
            <w:r>
              <w:rPr>
                <w:rFonts w:ascii="Liberation Serif" w:hAnsi="Liberation Serif"/>
                <w:sz w:val="24"/>
                <w:szCs w:val="24"/>
              </w:rPr>
            </w:r>
          </w:p>
        </w:tc>
        <w:tc>
          <w:tcPr>
            <w:tcW w:w="4412" w:type="dxa"/>
            <w:tcBorders>
              <w:start w:val="single" w:sz="4" w:space="0" w:color="000000"/>
              <w:bottom w:val="single" w:sz="4" w:space="0" w:color="000000"/>
              <w:end w:val="single" w:sz="4" w:space="0" w:color="000000"/>
            </w:tcBorders>
          </w:tcPr>
          <w:p>
            <w:pPr>
              <w:pStyle w:val="Heading3"/>
              <w:widowControl w:val="false"/>
              <w:bidi w:val="0"/>
              <w:spacing w:lineRule="auto" w:line="240" w:before="0" w:after="140"/>
              <w:jc w:val="both"/>
              <w:rPr>
                <w:rFonts w:ascii="Liberation Serif" w:hAnsi="Liberation Serif"/>
                <w:sz w:val="24"/>
                <w:szCs w:val="24"/>
              </w:rPr>
            </w:pPr>
            <w:r>
              <w:rPr/>
            </w:r>
          </w:p>
        </w:tc>
        <w:tc>
          <w:tcPr>
            <w:tcW w:w="2592" w:type="dxa"/>
            <w:tcBorders>
              <w:start w:val="single" w:sz="4" w:space="0" w:color="000000"/>
              <w:bottom w:val="single" w:sz="4" w:space="0" w:color="000000"/>
              <w:end w:val="single" w:sz="4" w:space="0" w:color="000000"/>
            </w:tcBorders>
          </w:tcPr>
          <w:p>
            <w:pPr>
              <w:pStyle w:val="Normal"/>
              <w:widowControl w:val="false"/>
              <w:bidi w:val="0"/>
              <w:spacing w:lineRule="auto" w:line="240" w:before="0" w:after="160"/>
              <w:jc w:val="both"/>
              <w:rPr>
                <w:rFonts w:ascii="Liberation Serif" w:hAnsi="Liberation Serif"/>
                <w:sz w:val="24"/>
                <w:szCs w:val="24"/>
              </w:rPr>
            </w:pPr>
            <w:r>
              <w:rPr/>
            </w:r>
          </w:p>
        </w:tc>
      </w:tr>
      <w:tr>
        <w:trPr>
          <w:trHeight w:val="959" w:hRule="atLeast"/>
        </w:trPr>
        <w:tc>
          <w:tcPr>
            <w:tcW w:w="1750" w:type="dxa"/>
            <w:tcBorders>
              <w:start w:val="single" w:sz="4" w:space="0" w:color="000000"/>
              <w:bottom w:val="single" w:sz="4" w:space="0" w:color="000000"/>
              <w:end w:val="single" w:sz="4" w:space="0" w:color="000000"/>
            </w:tcBorders>
          </w:tcPr>
          <w:p>
            <w:pPr>
              <w:pStyle w:val="Heading3"/>
              <w:widowControl w:val="false"/>
              <w:bidi w:val="0"/>
              <w:spacing w:lineRule="auto" w:line="240" w:before="0" w:after="160"/>
              <w:jc w:val="both"/>
              <w:rPr>
                <w:rFonts w:ascii="Liberation Serif" w:hAnsi="Liberation Serif"/>
                <w:sz w:val="24"/>
                <w:szCs w:val="24"/>
              </w:rPr>
            </w:pPr>
            <w:r>
              <w:rPr/>
            </w:r>
          </w:p>
        </w:tc>
        <w:tc>
          <w:tcPr>
            <w:tcW w:w="1788" w:type="dxa"/>
            <w:tcBorders>
              <w:start w:val="single" w:sz="4" w:space="0" w:color="000000"/>
              <w:bottom w:val="single" w:sz="4" w:space="0" w:color="000000"/>
              <w:end w:val="single" w:sz="4" w:space="0" w:color="000000"/>
            </w:tcBorders>
          </w:tcPr>
          <w:p>
            <w:pPr>
              <w:pStyle w:val="BodyText"/>
              <w:widowControl w:val="false"/>
              <w:bidi w:val="0"/>
              <w:spacing w:lineRule="auto" w:line="240" w:before="0" w:after="140"/>
              <w:jc w:val="both"/>
              <w:rPr>
                <w:rFonts w:ascii="Liberation Serif" w:hAnsi="Liberation Serif"/>
                <w:sz w:val="24"/>
                <w:szCs w:val="24"/>
              </w:rPr>
            </w:pPr>
            <w:r>
              <w:rPr/>
            </w:r>
          </w:p>
        </w:tc>
        <w:tc>
          <w:tcPr>
            <w:tcW w:w="4412" w:type="dxa"/>
            <w:tcBorders>
              <w:start w:val="single" w:sz="4" w:space="0" w:color="000000"/>
              <w:bottom w:val="single" w:sz="4" w:space="0" w:color="000000"/>
              <w:end w:val="single" w:sz="4" w:space="0" w:color="000000"/>
            </w:tcBorders>
          </w:tcPr>
          <w:p>
            <w:pPr>
              <w:pStyle w:val="Heading3"/>
              <w:widowControl w:val="false"/>
              <w:bidi w:val="0"/>
              <w:spacing w:lineRule="auto" w:line="240" w:before="140" w:after="120"/>
              <w:jc w:val="both"/>
              <w:rPr>
                <w:rFonts w:ascii="Liberation Serif" w:hAnsi="Liberation Serif"/>
                <w:sz w:val="24"/>
                <w:szCs w:val="24"/>
              </w:rPr>
            </w:pPr>
            <w:r>
              <w:rPr>
                <w:sz w:val="24"/>
                <w:szCs w:val="24"/>
              </w:rPr>
            </w:r>
          </w:p>
        </w:tc>
        <w:tc>
          <w:tcPr>
            <w:tcW w:w="2592" w:type="dxa"/>
            <w:tcBorders>
              <w:start w:val="single" w:sz="4" w:space="0" w:color="000000"/>
              <w:bottom w:val="single" w:sz="4" w:space="0" w:color="000000"/>
              <w:end w:val="single" w:sz="4" w:space="0" w:color="000000"/>
            </w:tcBorders>
          </w:tcPr>
          <w:p>
            <w:pPr>
              <w:pStyle w:val="Normal"/>
              <w:widowControl w:val="false"/>
              <w:bidi w:val="0"/>
              <w:spacing w:lineRule="auto" w:line="240" w:before="0" w:after="160"/>
              <w:jc w:val="both"/>
              <w:rPr>
                <w:rFonts w:ascii="Liberation Serif" w:hAnsi="Liberation Serif"/>
                <w:sz w:val="24"/>
                <w:szCs w:val="24"/>
              </w:rPr>
            </w:pPr>
            <w:r>
              <w:rPr/>
            </w:r>
          </w:p>
        </w:tc>
      </w:tr>
      <w:tr>
        <w:trPr>
          <w:trHeight w:val="959" w:hRule="atLeast"/>
        </w:trPr>
        <w:tc>
          <w:tcPr>
            <w:tcW w:w="1750" w:type="dxa"/>
            <w:tcBorders>
              <w:start w:val="single" w:sz="4" w:space="0" w:color="000000"/>
              <w:bottom w:val="single" w:sz="4" w:space="0" w:color="000000"/>
              <w:end w:val="single" w:sz="4" w:space="0" w:color="000000"/>
            </w:tcBorders>
          </w:tcPr>
          <w:p>
            <w:pPr>
              <w:pStyle w:val="Heading3"/>
              <w:widowControl w:val="false"/>
              <w:bidi w:val="0"/>
              <w:spacing w:lineRule="auto" w:line="240" w:before="0" w:after="160"/>
              <w:jc w:val="both"/>
              <w:rPr>
                <w:rFonts w:ascii="Liberation Serif" w:hAnsi="Liberation Serif"/>
                <w:sz w:val="24"/>
                <w:szCs w:val="24"/>
              </w:rPr>
            </w:pPr>
            <w:r>
              <w:rPr>
                <w:sz w:val="24"/>
                <w:szCs w:val="24"/>
              </w:rPr>
            </w:r>
          </w:p>
        </w:tc>
        <w:tc>
          <w:tcPr>
            <w:tcW w:w="1788" w:type="dxa"/>
            <w:tcBorders>
              <w:start w:val="single" w:sz="4" w:space="0" w:color="000000"/>
              <w:bottom w:val="single" w:sz="4" w:space="0" w:color="000000"/>
              <w:end w:val="single" w:sz="4" w:space="0" w:color="000000"/>
            </w:tcBorders>
          </w:tcPr>
          <w:p>
            <w:pPr>
              <w:pStyle w:val="Normal"/>
              <w:widowControl w:val="false"/>
              <w:bidi w:val="0"/>
              <w:spacing w:lineRule="auto" w:line="240"/>
              <w:jc w:val="both"/>
              <w:rPr>
                <w:rFonts w:ascii="Liberation Serif" w:hAnsi="Liberation Serif"/>
                <w:sz w:val="24"/>
                <w:szCs w:val="24"/>
              </w:rPr>
            </w:pPr>
            <w:r>
              <w:rPr>
                <w:rFonts w:ascii="Liberation Serif" w:hAnsi="Liberation Serif"/>
                <w:sz w:val="24"/>
                <w:szCs w:val="24"/>
              </w:rPr>
            </w:r>
          </w:p>
        </w:tc>
        <w:tc>
          <w:tcPr>
            <w:tcW w:w="4412" w:type="dxa"/>
            <w:tcBorders>
              <w:start w:val="single" w:sz="4" w:space="0" w:color="000000"/>
              <w:bottom w:val="single" w:sz="4" w:space="0" w:color="000000"/>
              <w:end w:val="single" w:sz="4" w:space="0" w:color="000000"/>
            </w:tcBorders>
          </w:tcPr>
          <w:p>
            <w:pPr>
              <w:pStyle w:val="Heading1"/>
              <w:widowControl w:val="false"/>
              <w:bidi w:val="0"/>
              <w:spacing w:lineRule="auto" w:line="240" w:before="140" w:after="120"/>
              <w:jc w:val="both"/>
              <w:rPr>
                <w:rFonts w:ascii="Liberation Serif" w:hAnsi="Liberation Serif"/>
                <w:sz w:val="24"/>
                <w:szCs w:val="24"/>
              </w:rPr>
            </w:pPr>
            <w:r>
              <w:rPr>
                <w:rFonts w:ascii="Liberation Serif" w:hAnsi="Liberation Serif"/>
                <w:sz w:val="24"/>
                <w:szCs w:val="24"/>
              </w:rPr>
            </w:r>
          </w:p>
        </w:tc>
        <w:tc>
          <w:tcPr>
            <w:tcW w:w="2592" w:type="dxa"/>
            <w:tcBorders>
              <w:start w:val="single" w:sz="4" w:space="0" w:color="000000"/>
              <w:bottom w:val="single" w:sz="4" w:space="0" w:color="000000"/>
              <w:end w:val="single" w:sz="4" w:space="0" w:color="000000"/>
            </w:tcBorders>
          </w:tcPr>
          <w:p>
            <w:pPr>
              <w:pStyle w:val="Normal"/>
              <w:widowControl w:val="false"/>
              <w:bidi w:val="0"/>
              <w:spacing w:lineRule="auto" w:line="240" w:before="0" w:after="160"/>
              <w:jc w:val="both"/>
              <w:rPr>
                <w:rFonts w:ascii="Liberation Serif" w:hAnsi="Liberation Serif"/>
                <w:sz w:val="24"/>
                <w:szCs w:val="24"/>
              </w:rPr>
            </w:pPr>
            <w:r>
              <w:rPr>
                <w:rFonts w:ascii="Liberation Serif" w:hAnsi="Liberation Serif"/>
                <w:sz w:val="24"/>
                <w:szCs w:val="24"/>
              </w:rPr>
            </w:r>
          </w:p>
        </w:tc>
      </w:tr>
    </w:tbl>
    <w:p>
      <w:pPr>
        <w:pStyle w:val="Normal"/>
        <w:bidi w:val="0"/>
        <w:jc w:val="start"/>
        <w:rPr>
          <w:b w:val="false"/>
          <w:bCs w:val="false"/>
          <w:sz w:val="22"/>
          <w:szCs w:val="22"/>
          <w:u w:val="none"/>
        </w:rPr>
      </w:pPr>
      <w:r>
        <w:rPr>
          <w:b w:val="false"/>
          <w:bCs w:val="false"/>
          <w:sz w:val="22"/>
          <w:szCs w:val="22"/>
          <w:u w:val="none"/>
        </w:rPr>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Liberation Serif">
    <w:altName w:val="Times New Roman"/>
    <w:charset w:val="01"/>
    <w:family w:val="swiss"/>
    <w:pitch w:val="default"/>
  </w:font>
  <w:font w:name="OpenSymbol">
    <w:altName w:val="Arial Unicode MS"/>
    <w:charset w:val="01"/>
    <w:family w:val="swiss"/>
    <w:pitch w:val="default"/>
  </w:font>
  <w:font w:name="Georgia">
    <w:charset w:val="01"/>
    <w:family w:val="swiss"/>
    <w:pitch w:val="default"/>
  </w:font>
</w:fonts>
</file>

<file path=word/settings.xml><?xml version="1.0" encoding="utf-8"?>
<w:settings xmlns:w="http://schemas.openxmlformats.org/wordprocessingml/2006/main">
  <w:zoom w:percent="12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Noto Sans CJK SC" w:cs="Lohit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Arial" w:hAnsi="Arial" w:eastAsia="Noto Sans CJK SC" w:cs="Lohit Devanagari"/>
      <w:color w:val="auto"/>
      <w:kern w:val="2"/>
      <w:sz w:val="24"/>
      <w:szCs w:val="24"/>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Heading"/>
    <w:next w:val="BodyText"/>
    <w:qFormat/>
    <w:pPr>
      <w:spacing w:before="200" w:after="120"/>
      <w:outlineLvl w:val="1"/>
    </w:pPr>
    <w:rPr>
      <w:rFonts w:ascii="Liberation Serif" w:hAnsi="Liberation Serif" w:eastAsia="Noto Sans CJK SC" w:cs="Lohit Devanagari"/>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ans CJK SC" w:cs="Lohit Devanagari"/>
      <w:b/>
      <w:bCs/>
      <w:sz w:val="28"/>
      <w:szCs w:val="28"/>
    </w:rPr>
  </w:style>
  <w:style w:type="character" w:styleId="Hyperlink">
    <w:name w:val="Hyperlink"/>
    <w:rPr>
      <w:color w:val="000080"/>
      <w:u w:val="single"/>
    </w:rPr>
  </w:style>
  <w:style w:type="character" w:styleId="FollowedHyperlink">
    <w:name w:val="FollowedHyperlink"/>
    <w:rPr>
      <w:color w:val="800000"/>
      <w:u w:val="single"/>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Arial" w:hAnsi="Arial"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Arial" w:hAnsi="Arial" w:cs="Lohit Devanagari"/>
    </w:rPr>
  </w:style>
  <w:style w:type="paragraph" w:styleId="Caption">
    <w:name w:val="Caption"/>
    <w:basedOn w:val="Normal"/>
    <w:qFormat/>
    <w:pPr>
      <w:suppressLineNumbers/>
      <w:spacing w:before="120" w:after="120"/>
    </w:pPr>
    <w:rPr>
      <w:rFonts w:ascii="Arial" w:hAnsi="Arial" w:cs="Lohit Devanagari"/>
      <w:i/>
      <w:iCs/>
      <w:sz w:val="24"/>
      <w:szCs w:val="24"/>
    </w:rPr>
  </w:style>
  <w:style w:type="paragraph" w:styleId="Index">
    <w:name w:val="Index"/>
    <w:basedOn w:val="Normal"/>
    <w:qFormat/>
    <w:pPr>
      <w:suppressLineNumbers/>
    </w:pPr>
    <w:rPr>
      <w:rFonts w:ascii="Arial" w:hAnsi="Arial" w:cs="Lohit Devanagari"/>
    </w:rPr>
  </w:style>
  <w:style w:type="paragraph" w:styleId="Normal1">
    <w:name w:val="normal1"/>
    <w:qFormat/>
    <w:pPr>
      <w:widowControl/>
      <w:suppressAutoHyphens w:val="true"/>
      <w:bidi w:val="0"/>
      <w:spacing w:lineRule="auto" w:line="276" w:before="0" w:after="0"/>
      <w:jc w:val="start"/>
    </w:pPr>
    <w:rPr>
      <w:rFonts w:ascii="Arial" w:hAnsi="Arial" w:eastAsia="Noto Sans CJK SC" w:cs="Lohit Devanagari"/>
      <w:color w:val="auto"/>
      <w:kern w:val="2"/>
      <w:sz w:val="24"/>
      <w:szCs w:val="24"/>
      <w:lang w:val="en-US" w:eastAsia="zh-CN" w:bidi="hi-IN"/>
    </w:rPr>
  </w:style>
  <w:style w:type="paragraph" w:styleId="Normal2">
    <w:name w:val="normal2"/>
    <w:qFormat/>
    <w:pPr>
      <w:widowControl/>
      <w:suppressAutoHyphens w:val="true"/>
      <w:bidi w:val="0"/>
      <w:spacing w:lineRule="auto" w:line="276" w:before="0" w:after="0"/>
      <w:jc w:val="start"/>
    </w:pPr>
    <w:rPr>
      <w:rFonts w:ascii="Arial" w:hAnsi="Arial" w:eastAsia="Noto Sans CJK SC" w:cs="Lohit Devanagari"/>
      <w:color w:val="auto"/>
      <w:kern w:val="2"/>
      <w:sz w:val="24"/>
      <w:szCs w:val="24"/>
      <w:lang w:val="en-US" w:eastAsia="zh-CN" w:bidi="hi-IN"/>
    </w:rPr>
  </w:style>
  <w:style w:type="paragraph" w:styleId="Normal3">
    <w:name w:val="normal3"/>
    <w:qFormat/>
    <w:pPr>
      <w:widowControl/>
      <w:suppressAutoHyphens w:val="true"/>
      <w:bidi w:val="0"/>
      <w:spacing w:lineRule="auto" w:line="276" w:before="0" w:after="0"/>
      <w:jc w:val="start"/>
    </w:pPr>
    <w:rPr>
      <w:rFonts w:ascii="Arial" w:hAnsi="Arial" w:eastAsia="Noto Sans CJK SC" w:cs="Lohit Devanagari"/>
      <w:color w:val="auto"/>
      <w:kern w:val="2"/>
      <w:sz w:val="24"/>
      <w:szCs w:val="24"/>
      <w:lang w:val="en-US" w:eastAsia="zh-CN" w:bidi="hi-IN"/>
    </w:rPr>
  </w:style>
  <w:style w:type="paragraph" w:styleId="Normal4">
    <w:name w:val="normal4"/>
    <w:qFormat/>
    <w:pPr>
      <w:widowControl/>
      <w:suppressAutoHyphens w:val="true"/>
      <w:bidi w:val="0"/>
      <w:spacing w:lineRule="auto" w:line="276" w:before="0" w:after="0"/>
      <w:jc w:val="start"/>
    </w:pPr>
    <w:rPr>
      <w:rFonts w:ascii="Arial" w:hAnsi="Arial" w:eastAsia="Noto Sans CJK SC" w:cs="Lohit Devanagari"/>
      <w:color w:val="auto"/>
      <w:kern w:val="2"/>
      <w:sz w:val="24"/>
      <w:szCs w:val="24"/>
      <w:lang w:val="en-US" w:eastAsia="zh-CN" w:bidi="hi-IN"/>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Normal5">
    <w:name w:val="normal5"/>
    <w:qFormat/>
    <w:pPr>
      <w:widowControl/>
      <w:bidi w:val="0"/>
      <w:spacing w:lineRule="auto" w:line="276" w:before="0" w:after="0"/>
      <w:jc w:val="start"/>
    </w:pPr>
    <w:rPr>
      <w:rFonts w:ascii="Arial" w:hAnsi="Arial" w:eastAsia="Noto Sans CJK SC" w:cs="Lohit Devanagari"/>
      <w:color w:val="auto"/>
      <w:kern w:val="2"/>
      <w:sz w:val="24"/>
      <w:szCs w:val="24"/>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n.globes.co.il/en/article-netanyahu-simhon-pushing-to-cancel-vat-hike-1001484352" TargetMode="External"/><Relationship Id="rId3" Type="http://schemas.openxmlformats.org/officeDocument/2006/relationships/hyperlink" Target="https://en.globes.co.il/en/article-housing-sales-in-israel-up-37-1001484258" TargetMode="External"/><Relationship Id="rId4" Type="http://schemas.openxmlformats.org/officeDocument/2006/relationships/hyperlink" Target="https://en.globes.co.il/en/article-june-cpi-up-01-as-housing-prices-jump-again-1001484442" TargetMode="External"/><Relationship Id="rId5" Type="http://schemas.openxmlformats.org/officeDocument/2006/relationships/hyperlink" Target="https://www.themarker.com/dynamo/cars/2024-07-17/ty-article/.premium/00000190-ba15-da51-a19a-fefda61e0000" TargetMode="External"/><Relationship Id="rId6" Type="http://schemas.openxmlformats.org/officeDocument/2006/relationships/hyperlink" Target="https://www.globes.co.il/news/article.aspx?did=1001484482" TargetMode="External"/><Relationship Id="rId7" Type="http://schemas.openxmlformats.org/officeDocument/2006/relationships/hyperlink" Target="" TargetMode="External"/><Relationship Id="rId8" Type="http://schemas.openxmlformats.org/officeDocument/2006/relationships/hyperlink" Target="https://www.wiz.io/" TargetMode="External"/><Relationship Id="rId9" Type="http://schemas.openxmlformats.org/officeDocument/2006/relationships/hyperlink" Target="https://en.globes.co.il/en/article-google-in-advanced-talks-to-buy-wiz-for-23b-report-1001484350" TargetMode="External"/><Relationship Id="rId10" Type="http://schemas.openxmlformats.org/officeDocument/2006/relationships/hyperlink" Target="https://shikunbinui.com/" TargetMode="External"/><Relationship Id="rId11" Type="http://schemas.openxmlformats.org/officeDocument/2006/relationships/hyperlink" Target="https://en.globes.co.il/en/article-shikun-binui-selling-nigeria-operations-for-100m-1001484273" TargetMode="External"/><Relationship Id="rId12" Type="http://schemas.openxmlformats.org/officeDocument/2006/relationships/hyperlink" Target="https://www.innovalvemed.com/" TargetMode="External"/><Relationship Id="rId13" Type="http://schemas.openxmlformats.org/officeDocument/2006/relationships/hyperlink" Target="https://en.globes.co.il/en/article-edwards-lifesciences-buys-israeli-co-innovalve-bio-medical-1001484422" TargetMode="External"/><Relationship Id="rId14" Type="http://schemas.openxmlformats.org/officeDocument/2006/relationships/hyperlink" Target="" TargetMode="External"/><Relationship Id="rId15" Type="http://schemas.openxmlformats.org/officeDocument/2006/relationships/hyperlink" Target="https://en.globes.co.il/en/article-centerbridge-and-gallatin-sell-control-of-phoenix-1001484463" TargetMode="External"/><Relationship Id="rId16" Type="http://schemas.openxmlformats.org/officeDocument/2006/relationships/hyperlink" Target="https://www.themarker.com/dynamo/cars/2024-07-17/ty-article/.premium/00000190-ba15-da51-a19a-fefda61e0000" TargetMode="External"/><Relationship Id="rId17" Type="http://schemas.openxmlformats.org/officeDocument/2006/relationships/hyperlink" Target="https://www.calcalistech.com/ctechnews/article/skg4nviur" TargetMode="External"/><Relationship Id="rId18" Type="http://schemas.openxmlformats.org/officeDocument/2006/relationships/hyperlink" Target="" TargetMode="External"/><Relationship Id="rId19" Type="http://schemas.openxmlformats.org/officeDocument/2006/relationships/hyperlink" Target="mailto:michaelgr2@iaa.gov.il" TargetMode="External"/><Relationship Id="rId20" Type="http://schemas.openxmlformats.org/officeDocument/2006/relationships/hyperlink" Target="https://files.iaa.gov.il/tenders/2024/Logistics/Michael grinberg/Tenders_s/2023_070_0192_00/Log_RFP_2023_070_0192_00.pdf" TargetMode="External"/><Relationship Id="rId21" Type="http://schemas.openxmlformats.org/officeDocument/2006/relationships/hyperlink" Target="" TargetMode="Externa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203</TotalTime>
  <Application>LibreOffice/7.6.2.1$Linux_X86_64 LibreOffice_project/60$Build-1</Application>
  <AppVersion>15.0000</AppVersion>
  <Pages>4</Pages>
  <Words>1133</Words>
  <Characters>6791</Characters>
  <CharactersWithSpaces>7885</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2024-07-12T08:58:24Z</dcterms:created>
  <dc:creator/>
  <dc:description/>
  <dc:language>en-US</dc:language>
  <cp:lastModifiedBy/>
  <dcterms:modified xsi:type="dcterms:W3CDTF">2024-07-19T10:34:03Z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