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Times New Roman" w:hAnsi="Times New Roman"/>
          <w:b/>
          <w:sz w:val="26"/>
          <w:szCs w:val="26"/>
          <w:u w:val="single"/>
          <w:lang w:val="en-GB"/>
        </w:rPr>
      </w:pPr>
      <w:r>
        <w:rPr>
          <w:rFonts w:ascii="Times New Roman" w:hAnsi="Times New Roman"/>
          <w:b/>
          <w:sz w:val="26"/>
          <w:szCs w:val="26"/>
          <w:u w:val="single"/>
          <w:lang w:val="en-GB"/>
        </w:rPr>
        <w:t xml:space="preserve">      </w:t>
      </w:r>
      <w:r>
        <w:rPr>
          <w:rFonts w:ascii="Times New Roman" w:hAnsi="Times New Roman"/>
          <w:b/>
          <w:sz w:val="26"/>
          <w:szCs w:val="26"/>
          <w:u w:val="single"/>
          <w:lang w:val="en-GB"/>
        </w:rPr>
        <w:br/>
      </w:r>
      <w:r>
        <w:rPr/>
        <w:drawing>
          <wp:inline distT="0" distB="0" distL="0" distR="0">
            <wp:extent cx="1619250" cy="914400"/>
            <wp:effectExtent l="0" t="0" r="0" b="0"/>
            <wp:docPr id="1"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
                    <pic:cNvPicPr>
                      <a:picLocks noChangeAspect="1" noChangeArrowheads="1"/>
                    </pic:cNvPicPr>
                  </pic:nvPicPr>
                  <pic:blipFill>
                    <a:blip r:embed="rId2"/>
                    <a:stretch>
                      <a:fillRect/>
                    </a:stretch>
                  </pic:blipFill>
                  <pic:spPr bwMode="auto">
                    <a:xfrm>
                      <a:off x="0" y="0"/>
                      <a:ext cx="1619250" cy="914400"/>
                    </a:xfrm>
                    <a:prstGeom prst="rect">
                      <a:avLst/>
                    </a:prstGeom>
                  </pic:spPr>
                </pic:pic>
              </a:graphicData>
            </a:graphic>
          </wp:inline>
        </w:drawing>
      </w:r>
      <w:r>
        <w:rPr>
          <w:rFonts w:ascii="Times New Roman" w:hAnsi="Times New Roman"/>
          <w:b/>
          <w:sz w:val="26"/>
          <w:szCs w:val="26"/>
          <w:u w:val="single"/>
          <w:lang w:val="en-GB"/>
        </w:rPr>
        <w:t xml:space="preserve">  </w:t>
      </w:r>
      <w:r>
        <w:rPr>
          <w:rFonts w:ascii="Times New Roman" w:hAnsi="Times New Roman"/>
          <w:b/>
          <w:sz w:val="36"/>
          <w:szCs w:val="36"/>
          <w:u w:val="single"/>
          <w:lang w:val="en-GB"/>
        </w:rPr>
        <w:t>*** COUNTRY PROFILE - EGYPT</w:t>
      </w:r>
    </w:p>
    <w:p>
      <w:pPr>
        <w:pStyle w:val="Normal"/>
        <w:jc w:val="center"/>
        <w:rPr>
          <w:rFonts w:ascii="Times New Roman" w:hAnsi="Times New Roman"/>
        </w:rPr>
      </w:pPr>
      <w:r>
        <w:rPr>
          <w:rFonts w:ascii="Times New Roman" w:hAnsi="Times New Roman"/>
          <w:b/>
          <w:sz w:val="26"/>
          <w:szCs w:val="26"/>
          <w:u w:val="single"/>
          <w:lang w:val="en-GB"/>
        </w:rPr>
        <w:br/>
      </w:r>
      <w:r>
        <w:rPr/>
        <w:drawing>
          <wp:inline distT="0" distB="0" distL="0" distR="0">
            <wp:extent cx="5731510" cy="5592445"/>
            <wp:effectExtent l="0" t="0" r="0" b="0"/>
            <wp:docPr id="2"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
                    <pic:cNvPicPr>
                      <a:picLocks noChangeAspect="1" noChangeArrowheads="1"/>
                    </pic:cNvPicPr>
                  </pic:nvPicPr>
                  <pic:blipFill>
                    <a:blip r:embed="rId3"/>
                    <a:stretch>
                      <a:fillRect/>
                    </a:stretch>
                  </pic:blipFill>
                  <pic:spPr bwMode="auto">
                    <a:xfrm>
                      <a:off x="0" y="0"/>
                      <a:ext cx="5731510" cy="5592445"/>
                    </a:xfrm>
                    <a:prstGeom prst="rect">
                      <a:avLst/>
                    </a:prstGeom>
                  </pic:spPr>
                </pic:pic>
              </a:graphicData>
            </a:graphic>
          </wp:inline>
        </w:drawing>
      </w:r>
    </w:p>
    <w:p>
      <w:pPr>
        <w:pStyle w:val="Normal"/>
        <w:jc w:val="center"/>
        <w:rPr>
          <w:rFonts w:ascii="Times New Roman" w:hAnsi="Times New Roman"/>
          <w:b/>
          <w:sz w:val="28"/>
          <w:szCs w:val="28"/>
          <w:lang w:val="en-GB"/>
        </w:rPr>
      </w:pPr>
      <w:r>
        <w:rPr>
          <w:rFonts w:ascii="Times New Roman" w:hAnsi="Times New Roman"/>
          <w:b/>
          <w:sz w:val="26"/>
          <w:szCs w:val="26"/>
          <w:lang w:val="en-GB"/>
        </w:rPr>
        <w:br/>
        <w:br/>
      </w:r>
      <w:r>
        <w:rPr>
          <w:rFonts w:ascii="Times New Roman" w:hAnsi="Times New Roman"/>
          <w:b/>
          <w:sz w:val="28"/>
          <w:szCs w:val="28"/>
          <w:lang w:val="en-GB"/>
        </w:rPr>
        <w:t xml:space="preserve">Prepared by: </w:t>
      </w:r>
    </w:p>
    <w:p>
      <w:pPr>
        <w:pStyle w:val="Normal"/>
        <w:jc w:val="center"/>
        <w:rPr>
          <w:rFonts w:ascii="Times New Roman" w:hAnsi="Times New Roman"/>
          <w:b/>
          <w:sz w:val="28"/>
          <w:szCs w:val="28"/>
          <w:lang w:val="en-GB"/>
        </w:rPr>
      </w:pPr>
      <w:r>
        <w:rPr>
          <w:rFonts w:ascii="Times New Roman" w:hAnsi="Times New Roman"/>
          <w:b/>
          <w:sz w:val="28"/>
          <w:szCs w:val="28"/>
          <w:lang w:val="en-GB"/>
        </w:rPr>
        <w:t>Commerce Wing – Embassy of India, Egypt</w:t>
      </w:r>
    </w:p>
    <w:p>
      <w:pPr>
        <w:pStyle w:val="Normal"/>
        <w:jc w:val="center"/>
        <w:rPr>
          <w:rFonts w:ascii="Times New Roman" w:hAnsi="Times New Roman"/>
          <w:b/>
          <w:sz w:val="26"/>
          <w:szCs w:val="26"/>
          <w:u w:val="single"/>
        </w:rPr>
      </w:pPr>
      <w:r>
        <w:rPr>
          <w:rFonts w:ascii="Times New Roman" w:hAnsi="Times New Roman"/>
          <w:b/>
          <w:sz w:val="26"/>
          <w:szCs w:val="26"/>
          <w:u w:val="single"/>
        </w:rPr>
      </w:r>
    </w:p>
    <w:p>
      <w:pPr>
        <w:pStyle w:val="Normal"/>
        <w:jc w:val="center"/>
        <w:rPr>
          <w:rFonts w:ascii="Times New Roman" w:hAnsi="Times New Roman"/>
          <w:b/>
          <w:sz w:val="26"/>
          <w:szCs w:val="26"/>
          <w:u w:val="single"/>
        </w:rPr>
      </w:pPr>
      <w:r>
        <w:rPr>
          <w:rFonts w:ascii="Times New Roman" w:hAnsi="Times New Roman"/>
          <w:b/>
          <w:sz w:val="26"/>
          <w:szCs w:val="26"/>
          <w:u w:val="single"/>
        </w:rPr>
        <w:br/>
      </w:r>
    </w:p>
    <w:p>
      <w:pPr>
        <w:pStyle w:val="ListParagraph"/>
        <w:numPr>
          <w:ilvl w:val="0"/>
          <w:numId w:val="15"/>
        </w:numPr>
        <w:spacing w:lineRule="auto" w:line="360" w:before="0" w:after="0"/>
        <w:contextualSpacing/>
        <w:jc w:val="both"/>
        <w:rPr>
          <w:rFonts w:ascii="Times New Roman" w:hAnsi="Times New Roman"/>
        </w:rPr>
      </w:pPr>
      <w:r>
        <w:rPr>
          <w:rFonts w:ascii="Times New Roman" w:hAnsi="Times New Roman"/>
          <w:b/>
          <w:sz w:val="26"/>
          <w:szCs w:val="26"/>
          <w:u w:val="single"/>
        </w:rPr>
        <w:t>General Information</w:t>
      </w:r>
    </w:p>
    <w:tbl>
      <w:tblPr>
        <w:tblW w:w="8231" w:type="dxa"/>
        <w:jc w:val="left"/>
        <w:tblInd w:w="274" w:type="dxa"/>
        <w:tblLayout w:type="fixed"/>
        <w:tblCellMar>
          <w:top w:w="0" w:type="dxa"/>
          <w:left w:w="108" w:type="dxa"/>
          <w:bottom w:w="0" w:type="dxa"/>
          <w:right w:w="108" w:type="dxa"/>
        </w:tblCellMar>
        <w:tblLook w:val="0000" w:noHBand="0" w:noVBand="0" w:firstColumn="0" w:lastRow="0" w:lastColumn="0" w:firstRow="0"/>
      </w:tblPr>
      <w:tblGrid>
        <w:gridCol w:w="3401"/>
        <w:gridCol w:w="4829"/>
      </w:tblGrid>
      <w:tr>
        <w:trPr/>
        <w:tc>
          <w:tcPr>
            <w:tcW w:w="3401"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360" w:before="0" w:after="0"/>
              <w:jc w:val="both"/>
              <w:rPr>
                <w:rFonts w:ascii="Times New Roman" w:hAnsi="Times New Roman"/>
              </w:rPr>
            </w:pPr>
            <w:r>
              <w:rPr>
                <w:rFonts w:ascii="Times New Roman" w:hAnsi="Times New Roman"/>
                <w:b/>
                <w:sz w:val="26"/>
                <w:szCs w:val="26"/>
                <w:lang w:bidi="hi-IN"/>
              </w:rPr>
              <w:t>Capital</w:t>
            </w:r>
          </w:p>
        </w:tc>
        <w:tc>
          <w:tcPr>
            <w:tcW w:w="482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before="0" w:after="0"/>
              <w:jc w:val="both"/>
              <w:rPr>
                <w:rFonts w:ascii="Times New Roman" w:hAnsi="Times New Roman"/>
              </w:rPr>
            </w:pPr>
            <w:r>
              <w:rPr>
                <w:rFonts w:ascii="Times New Roman" w:hAnsi="Times New Roman"/>
                <w:bCs/>
                <w:sz w:val="26"/>
                <w:szCs w:val="26"/>
                <w:lang w:bidi="hi-IN"/>
              </w:rPr>
              <w:t>Cairo</w:t>
            </w:r>
          </w:p>
        </w:tc>
      </w:tr>
      <w:tr>
        <w:trPr/>
        <w:tc>
          <w:tcPr>
            <w:tcW w:w="3401"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360" w:before="0" w:after="0"/>
              <w:jc w:val="both"/>
              <w:rPr>
                <w:rFonts w:ascii="Times New Roman" w:hAnsi="Times New Roman"/>
              </w:rPr>
            </w:pPr>
            <w:r>
              <w:rPr>
                <w:rFonts w:ascii="Times New Roman" w:hAnsi="Times New Roman"/>
                <w:b/>
                <w:sz w:val="26"/>
                <w:szCs w:val="26"/>
                <w:lang w:bidi="hi-IN"/>
              </w:rPr>
              <w:t>Area</w:t>
            </w:r>
          </w:p>
        </w:tc>
        <w:tc>
          <w:tcPr>
            <w:tcW w:w="482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before="0" w:after="0"/>
              <w:jc w:val="both"/>
              <w:rPr>
                <w:rFonts w:ascii="Times New Roman" w:hAnsi="Times New Roman"/>
              </w:rPr>
            </w:pPr>
            <w:r>
              <w:rPr>
                <w:rFonts w:ascii="Times New Roman" w:hAnsi="Times New Roman"/>
                <w:sz w:val="26"/>
                <w:szCs w:val="26"/>
                <w:lang w:bidi="hi-IN"/>
              </w:rPr>
              <w:t xml:space="preserve">1,001,450 sq km </w:t>
            </w:r>
          </w:p>
        </w:tc>
      </w:tr>
      <w:tr>
        <w:trPr/>
        <w:tc>
          <w:tcPr>
            <w:tcW w:w="3401"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360" w:before="0" w:after="0"/>
              <w:jc w:val="both"/>
              <w:rPr>
                <w:rFonts w:ascii="Times New Roman" w:hAnsi="Times New Roman"/>
              </w:rPr>
            </w:pPr>
            <w:r>
              <w:rPr>
                <w:rFonts w:ascii="Times New Roman" w:hAnsi="Times New Roman"/>
                <w:b/>
                <w:sz w:val="26"/>
                <w:szCs w:val="26"/>
                <w:lang w:bidi="hi-IN"/>
              </w:rPr>
              <w:t>Population</w:t>
            </w:r>
          </w:p>
        </w:tc>
        <w:tc>
          <w:tcPr>
            <w:tcW w:w="482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sz w:val="26"/>
                <w:szCs w:val="26"/>
                <w:lang w:bidi="hi-IN"/>
              </w:rPr>
            </w:pPr>
            <w:r>
              <w:rPr>
                <w:rFonts w:ascii="Times New Roman" w:hAnsi="Times New Roman"/>
                <w:sz w:val="26"/>
                <w:szCs w:val="26"/>
                <w:lang w:bidi="hi-IN"/>
              </w:rPr>
              <w:t>106.500 million (2</w:t>
            </w:r>
            <w:r>
              <w:rPr>
                <w:rFonts w:ascii="Times New Roman" w:hAnsi="Times New Roman"/>
                <w:sz w:val="26"/>
                <w:szCs w:val="26"/>
                <w:vertAlign w:val="superscript"/>
                <w:lang w:bidi="hi-IN"/>
              </w:rPr>
              <w:t>nd</w:t>
            </w:r>
            <w:r>
              <w:rPr>
                <w:rFonts w:ascii="Times New Roman" w:hAnsi="Times New Roman"/>
                <w:sz w:val="26"/>
                <w:szCs w:val="26"/>
                <w:lang w:bidi="hi-IN"/>
              </w:rPr>
              <w:t xml:space="preserve"> July 2024)</w:t>
            </w:r>
          </w:p>
        </w:tc>
      </w:tr>
      <w:tr>
        <w:trPr>
          <w:trHeight w:val="788" w:hRule="atLeast"/>
        </w:trPr>
        <w:tc>
          <w:tcPr>
            <w:tcW w:w="3401"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120" w:after="120"/>
              <w:jc w:val="both"/>
              <w:rPr>
                <w:rFonts w:ascii="Times New Roman" w:hAnsi="Times New Roman"/>
              </w:rPr>
            </w:pPr>
            <w:r>
              <w:rPr>
                <w:rFonts w:ascii="Times New Roman" w:hAnsi="Times New Roman"/>
                <w:b/>
                <w:sz w:val="26"/>
                <w:szCs w:val="26"/>
                <w:lang w:bidi="hi-IN"/>
              </w:rPr>
              <w:t>Currency</w:t>
            </w:r>
          </w:p>
          <w:p>
            <w:pPr>
              <w:pStyle w:val="Normal"/>
              <w:widowControl w:val="false"/>
              <w:spacing w:lineRule="auto" w:line="360" w:before="0" w:after="0"/>
              <w:jc w:val="both"/>
              <w:rPr>
                <w:rFonts w:ascii="Times New Roman" w:hAnsi="Times New Roman"/>
              </w:rPr>
            </w:pPr>
            <w:r>
              <w:rPr>
                <w:rFonts w:ascii="Times New Roman" w:hAnsi="Times New Roman"/>
                <w:b/>
                <w:sz w:val="26"/>
                <w:szCs w:val="26"/>
                <w:lang w:bidi="hi-IN"/>
              </w:rPr>
              <w:t>Exchange rate with US$ &amp; INR</w:t>
            </w:r>
          </w:p>
        </w:tc>
        <w:tc>
          <w:tcPr>
            <w:tcW w:w="4829" w:type="dxa"/>
            <w:tcBorders>
              <w:top w:val="single" w:sz="4" w:space="0" w:color="000000"/>
              <w:left w:val="single" w:sz="4" w:space="0" w:color="000000"/>
              <w:bottom w:val="single" w:sz="4" w:space="0" w:color="000000"/>
              <w:right w:val="single" w:sz="4" w:space="0" w:color="000000"/>
            </w:tcBorders>
            <w:shd w:color="auto" w:fill="auto" w:val="clear"/>
          </w:tcPr>
          <w:p>
            <w:pPr>
              <w:pStyle w:val="Header"/>
              <w:widowControl w:val="false"/>
              <w:spacing w:lineRule="auto" w:line="276"/>
              <w:rPr>
                <w:rFonts w:ascii="Times New Roman" w:hAnsi="Times New Roman"/>
                <w:sz w:val="26"/>
                <w:szCs w:val="26"/>
                <w:lang w:bidi="hi-IN"/>
              </w:rPr>
            </w:pPr>
            <w:r>
              <w:rPr>
                <w:rFonts w:ascii="Times New Roman" w:hAnsi="Times New Roman"/>
                <w:sz w:val="26"/>
                <w:szCs w:val="26"/>
                <w:lang w:bidi="hi-IN"/>
              </w:rPr>
              <w:t xml:space="preserve">Egyptian Pound; </w:t>
            </w:r>
          </w:p>
          <w:p>
            <w:pPr>
              <w:pStyle w:val="Normal"/>
              <w:widowControl w:val="false"/>
              <w:spacing w:lineRule="auto" w:line="240" w:before="0" w:after="0"/>
              <w:jc w:val="both"/>
              <w:rPr>
                <w:rFonts w:ascii="Times New Roman" w:hAnsi="Times New Roman"/>
                <w:sz w:val="26"/>
                <w:szCs w:val="26"/>
                <w:lang w:bidi="hi-IN"/>
              </w:rPr>
            </w:pPr>
            <w:r>
              <w:rPr>
                <w:rFonts w:ascii="Times New Roman" w:hAnsi="Times New Roman"/>
                <w:sz w:val="26"/>
                <w:szCs w:val="26"/>
                <w:lang w:bidi="hi-IN"/>
              </w:rPr>
              <w:t xml:space="preserve">Exchange Rate: </w:t>
            </w:r>
            <w:r>
              <w:rPr>
                <w:rFonts w:ascii="Times New Roman" w:hAnsi="Times New Roman"/>
                <w:sz w:val="24"/>
                <w:szCs w:val="24"/>
              </w:rPr>
              <w:t xml:space="preserve">48.30 </w:t>
            </w:r>
            <w:r>
              <w:rPr>
                <w:rFonts w:ascii="Times New Roman" w:hAnsi="Times New Roman"/>
                <w:sz w:val="26"/>
                <w:szCs w:val="26"/>
                <w:lang w:bidi="hi-IN"/>
              </w:rPr>
              <w:t>Egyptian Pound= 1 USD (As on 2</w:t>
            </w:r>
            <w:r>
              <w:rPr>
                <w:rFonts w:ascii="Times New Roman" w:hAnsi="Times New Roman"/>
                <w:sz w:val="26"/>
                <w:szCs w:val="26"/>
                <w:vertAlign w:val="superscript"/>
                <w:lang w:bidi="hi-IN"/>
              </w:rPr>
              <w:t>nd</w:t>
            </w:r>
            <w:r>
              <w:rPr>
                <w:rFonts w:ascii="Times New Roman" w:hAnsi="Times New Roman"/>
                <w:sz w:val="26"/>
                <w:szCs w:val="26"/>
                <w:lang w:bidi="hi-IN"/>
              </w:rPr>
              <w:t xml:space="preserve">  July 2024) Exchange Rate to INR: 1 EGP = 1.73 INR (2</w:t>
            </w:r>
            <w:r>
              <w:rPr>
                <w:rFonts w:ascii="Times New Roman" w:hAnsi="Times New Roman"/>
                <w:sz w:val="26"/>
                <w:szCs w:val="26"/>
                <w:vertAlign w:val="superscript"/>
                <w:lang w:bidi="hi-IN"/>
              </w:rPr>
              <w:t>nd</w:t>
            </w:r>
            <w:r>
              <w:rPr>
                <w:rFonts w:ascii="Times New Roman" w:hAnsi="Times New Roman"/>
                <w:sz w:val="26"/>
                <w:szCs w:val="26"/>
                <w:lang w:bidi="hi-IN"/>
              </w:rPr>
              <w:t xml:space="preserve"> July 2024).</w:t>
            </w:r>
          </w:p>
        </w:tc>
      </w:tr>
    </w:tbl>
    <w:p>
      <w:pPr>
        <w:pStyle w:val="ListParagraph"/>
        <w:spacing w:lineRule="auto" w:line="360"/>
        <w:ind w:left="360" w:hanging="0"/>
        <w:rPr>
          <w:rFonts w:ascii="Times New Roman" w:hAnsi="Times New Roman"/>
          <w:b/>
          <w:sz w:val="26"/>
          <w:szCs w:val="26"/>
          <w:u w:val="single"/>
          <w:lang w:val="en-IN"/>
        </w:rPr>
      </w:pPr>
      <w:r>
        <w:rPr>
          <w:rFonts w:ascii="Times New Roman" w:hAnsi="Times New Roman"/>
          <w:b/>
          <w:sz w:val="26"/>
          <w:szCs w:val="26"/>
          <w:u w:val="single"/>
          <w:lang w:val="en-IN"/>
        </w:rPr>
      </w:r>
    </w:p>
    <w:p>
      <w:pPr>
        <w:pStyle w:val="ListParagraph"/>
        <w:numPr>
          <w:ilvl w:val="0"/>
          <w:numId w:val="15"/>
        </w:numPr>
        <w:spacing w:lineRule="auto" w:line="360"/>
        <w:rPr>
          <w:rFonts w:ascii="Times New Roman" w:hAnsi="Times New Roman"/>
        </w:rPr>
      </w:pPr>
      <w:r>
        <w:rPr>
          <w:rFonts w:ascii="Times New Roman" w:hAnsi="Times New Roman"/>
          <w:b/>
          <w:sz w:val="26"/>
          <w:szCs w:val="26"/>
          <w:u w:val="single"/>
          <w:lang w:val="en-IN"/>
        </w:rPr>
        <w:t>Economic Profile:</w:t>
      </w:r>
    </w:p>
    <w:tbl>
      <w:tblPr>
        <w:tblW w:w="8747" w:type="dxa"/>
        <w:jc w:val="left"/>
        <w:tblInd w:w="-5" w:type="dxa"/>
        <w:tblLayout w:type="fixed"/>
        <w:tblCellMar>
          <w:top w:w="0" w:type="dxa"/>
          <w:left w:w="108" w:type="dxa"/>
          <w:bottom w:w="0" w:type="dxa"/>
          <w:right w:w="108" w:type="dxa"/>
        </w:tblCellMar>
        <w:tblLook w:val="0000" w:noHBand="0" w:noVBand="0" w:firstColumn="0" w:lastRow="0" w:lastColumn="0" w:firstRow="0"/>
      </w:tblPr>
      <w:tblGrid>
        <w:gridCol w:w="709"/>
        <w:gridCol w:w="3904"/>
        <w:gridCol w:w="4134"/>
      </w:tblGrid>
      <w:tr>
        <w:trPr/>
        <w:tc>
          <w:tcPr>
            <w:tcW w:w="709" w:type="dxa"/>
            <w:tcBorders>
              <w:top w:val="single" w:sz="4" w:space="0" w:color="000000"/>
              <w:left w:val="single" w:sz="4" w:space="0" w:color="000000"/>
              <w:bottom w:val="single" w:sz="4" w:space="0" w:color="000000"/>
            </w:tcBorders>
            <w:shd w:color="auto" w:fill="auto" w:val="clear"/>
          </w:tcPr>
          <w:p>
            <w:pPr>
              <w:pStyle w:val="WW-ListParagraph"/>
              <w:widowControl w:val="false"/>
              <w:numPr>
                <w:ilvl w:val="0"/>
                <w:numId w:val="12"/>
              </w:numPr>
              <w:snapToGrid w:val="false"/>
              <w:spacing w:lineRule="auto" w:line="360" w:before="0" w:after="0"/>
              <w:contextualSpacing/>
              <w:jc w:val="both"/>
              <w:rPr>
                <w:rFonts w:ascii="Times New Roman" w:hAnsi="Times New Roman"/>
                <w:b/>
                <w:color w:val="000000"/>
                <w:sz w:val="26"/>
                <w:szCs w:val="26"/>
                <w:u w:val="single"/>
              </w:rPr>
            </w:pPr>
            <w:r>
              <w:rPr>
                <w:rFonts w:ascii="Times New Roman" w:hAnsi="Times New Roman"/>
                <w:b/>
                <w:color w:val="000000"/>
                <w:sz w:val="26"/>
                <w:szCs w:val="26"/>
                <w:u w:val="single"/>
              </w:rPr>
            </w:r>
          </w:p>
        </w:tc>
        <w:tc>
          <w:tcPr>
            <w:tcW w:w="3904"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360" w:before="0" w:after="160"/>
              <w:jc w:val="both"/>
              <w:rPr>
                <w:rFonts w:ascii="Times New Roman" w:hAnsi="Times New Roman"/>
              </w:rPr>
            </w:pPr>
            <w:r>
              <w:rPr>
                <w:rFonts w:ascii="Times New Roman" w:hAnsi="Times New Roman"/>
                <w:sz w:val="26"/>
                <w:szCs w:val="26"/>
              </w:rPr>
              <w:t>GDP, PPP (current international $)</w:t>
            </w:r>
          </w:p>
        </w:tc>
        <w:tc>
          <w:tcPr>
            <w:tcW w:w="41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before="0" w:after="160"/>
              <w:rPr>
                <w:rFonts w:ascii="Times New Roman" w:hAnsi="Times New Roman"/>
                <w:sz w:val="26"/>
                <w:szCs w:val="26"/>
              </w:rPr>
            </w:pPr>
            <w:r>
              <w:rPr>
                <w:rFonts w:ascii="Times New Roman" w:hAnsi="Times New Roman"/>
                <w:sz w:val="26"/>
                <w:szCs w:val="26"/>
              </w:rPr>
              <w:t>US $ 1.67 Trillion (2022-2023)</w:t>
            </w:r>
          </w:p>
        </w:tc>
      </w:tr>
      <w:tr>
        <w:trPr/>
        <w:tc>
          <w:tcPr>
            <w:tcW w:w="709" w:type="dxa"/>
            <w:tcBorders>
              <w:top w:val="single" w:sz="4" w:space="0" w:color="000000"/>
              <w:left w:val="single" w:sz="4" w:space="0" w:color="000000"/>
              <w:bottom w:val="single" w:sz="4" w:space="0" w:color="000000"/>
            </w:tcBorders>
            <w:shd w:color="auto" w:fill="auto" w:val="clear"/>
          </w:tcPr>
          <w:p>
            <w:pPr>
              <w:pStyle w:val="WW-ListParagraph"/>
              <w:widowControl w:val="false"/>
              <w:numPr>
                <w:ilvl w:val="0"/>
                <w:numId w:val="12"/>
              </w:numPr>
              <w:snapToGrid w:val="false"/>
              <w:spacing w:lineRule="auto" w:line="360" w:before="0" w:after="0"/>
              <w:contextualSpacing/>
              <w:jc w:val="both"/>
              <w:rPr>
                <w:rFonts w:ascii="Times New Roman" w:hAnsi="Times New Roman"/>
                <w:b/>
                <w:color w:val="000000"/>
                <w:sz w:val="26"/>
                <w:szCs w:val="26"/>
                <w:u w:val="single"/>
              </w:rPr>
            </w:pPr>
            <w:r>
              <w:rPr>
                <w:rFonts w:ascii="Times New Roman" w:hAnsi="Times New Roman"/>
                <w:b/>
                <w:color w:val="000000"/>
                <w:sz w:val="26"/>
                <w:szCs w:val="26"/>
                <w:u w:val="single"/>
              </w:rPr>
            </w:r>
          </w:p>
        </w:tc>
        <w:tc>
          <w:tcPr>
            <w:tcW w:w="3904"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360" w:before="0" w:after="160"/>
              <w:jc w:val="both"/>
              <w:rPr>
                <w:rFonts w:ascii="Times New Roman" w:hAnsi="Times New Roman"/>
              </w:rPr>
            </w:pPr>
            <w:r>
              <w:rPr>
                <w:rFonts w:ascii="Times New Roman" w:hAnsi="Times New Roman"/>
                <w:sz w:val="26"/>
                <w:szCs w:val="26"/>
              </w:rPr>
              <w:t>GDP (official exchange rate)</w:t>
            </w:r>
          </w:p>
        </w:tc>
        <w:tc>
          <w:tcPr>
            <w:tcW w:w="41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before="0" w:after="160"/>
              <w:rPr>
                <w:rFonts w:ascii="Times New Roman" w:hAnsi="Times New Roman"/>
                <w:sz w:val="26"/>
                <w:szCs w:val="26"/>
              </w:rPr>
            </w:pPr>
            <w:r>
              <w:rPr>
                <w:rFonts w:ascii="Times New Roman" w:hAnsi="Times New Roman"/>
                <w:sz w:val="26"/>
                <w:szCs w:val="26"/>
              </w:rPr>
              <w:t>US $ 476.75 Billion (2022-2023)</w:t>
            </w:r>
          </w:p>
        </w:tc>
      </w:tr>
      <w:tr>
        <w:trPr/>
        <w:tc>
          <w:tcPr>
            <w:tcW w:w="709" w:type="dxa"/>
            <w:tcBorders>
              <w:top w:val="single" w:sz="4" w:space="0" w:color="000000"/>
              <w:left w:val="single" w:sz="4" w:space="0" w:color="000000"/>
              <w:bottom w:val="single" w:sz="4" w:space="0" w:color="000000"/>
            </w:tcBorders>
            <w:shd w:color="auto" w:fill="auto" w:val="clear"/>
          </w:tcPr>
          <w:p>
            <w:pPr>
              <w:pStyle w:val="WW-ListParagraph"/>
              <w:widowControl w:val="false"/>
              <w:numPr>
                <w:ilvl w:val="0"/>
                <w:numId w:val="12"/>
              </w:numPr>
              <w:snapToGrid w:val="false"/>
              <w:spacing w:lineRule="auto" w:line="360" w:before="0" w:after="0"/>
              <w:contextualSpacing/>
              <w:jc w:val="both"/>
              <w:rPr>
                <w:rFonts w:ascii="Times New Roman" w:hAnsi="Times New Roman"/>
                <w:b/>
                <w:color w:val="000000"/>
                <w:sz w:val="26"/>
                <w:szCs w:val="26"/>
                <w:u w:val="single"/>
              </w:rPr>
            </w:pPr>
            <w:r>
              <w:rPr>
                <w:rFonts w:ascii="Times New Roman" w:hAnsi="Times New Roman"/>
                <w:b/>
                <w:color w:val="000000"/>
                <w:sz w:val="26"/>
                <w:szCs w:val="26"/>
                <w:u w:val="single"/>
              </w:rPr>
            </w:r>
          </w:p>
        </w:tc>
        <w:tc>
          <w:tcPr>
            <w:tcW w:w="3904"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360" w:before="0" w:after="160"/>
              <w:jc w:val="both"/>
              <w:rPr>
                <w:rFonts w:ascii="Times New Roman" w:hAnsi="Times New Roman"/>
                <w:color w:val="000000"/>
              </w:rPr>
            </w:pPr>
            <w:r>
              <w:rPr>
                <w:rFonts w:ascii="Times New Roman" w:hAnsi="Times New Roman"/>
                <w:color w:val="000000"/>
                <w:sz w:val="26"/>
                <w:szCs w:val="26"/>
              </w:rPr>
              <w:t>GDP - real growth rate</w:t>
            </w:r>
          </w:p>
        </w:tc>
        <w:tc>
          <w:tcPr>
            <w:tcW w:w="41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before="0" w:after="160"/>
              <w:rPr>
                <w:rFonts w:ascii="Times New Roman" w:hAnsi="Times New Roman"/>
                <w:sz w:val="26"/>
                <w:szCs w:val="26"/>
              </w:rPr>
            </w:pPr>
            <w:r>
              <w:rPr>
                <w:rFonts w:ascii="Times New Roman" w:hAnsi="Times New Roman"/>
                <w:sz w:val="26"/>
                <w:szCs w:val="26"/>
              </w:rPr>
              <w:t xml:space="preserve">6.6% (F.Y. 2022-23) (July-June)  </w:t>
            </w:r>
          </w:p>
        </w:tc>
      </w:tr>
      <w:tr>
        <w:trPr/>
        <w:tc>
          <w:tcPr>
            <w:tcW w:w="709" w:type="dxa"/>
            <w:tcBorders>
              <w:top w:val="single" w:sz="4" w:space="0" w:color="000000"/>
              <w:left w:val="single" w:sz="4" w:space="0" w:color="000000"/>
              <w:bottom w:val="single" w:sz="4" w:space="0" w:color="000000"/>
            </w:tcBorders>
            <w:shd w:color="auto" w:fill="auto" w:val="clear"/>
          </w:tcPr>
          <w:p>
            <w:pPr>
              <w:pStyle w:val="WW-ListParagraph"/>
              <w:widowControl w:val="false"/>
              <w:numPr>
                <w:ilvl w:val="0"/>
                <w:numId w:val="12"/>
              </w:numPr>
              <w:snapToGrid w:val="false"/>
              <w:spacing w:lineRule="auto" w:line="360" w:before="0" w:after="0"/>
              <w:contextualSpacing/>
              <w:jc w:val="both"/>
              <w:rPr>
                <w:rFonts w:ascii="Times New Roman" w:hAnsi="Times New Roman"/>
                <w:b/>
                <w:sz w:val="26"/>
                <w:szCs w:val="26"/>
                <w:u w:val="single"/>
              </w:rPr>
            </w:pPr>
            <w:r>
              <w:rPr>
                <w:rFonts w:ascii="Times New Roman" w:hAnsi="Times New Roman"/>
                <w:b/>
                <w:sz w:val="26"/>
                <w:szCs w:val="26"/>
                <w:u w:val="single"/>
              </w:rPr>
            </w:r>
          </w:p>
        </w:tc>
        <w:tc>
          <w:tcPr>
            <w:tcW w:w="3904"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360" w:before="0" w:after="160"/>
              <w:jc w:val="both"/>
              <w:rPr>
                <w:rFonts w:ascii="Times New Roman" w:hAnsi="Times New Roman"/>
              </w:rPr>
            </w:pPr>
            <w:r>
              <w:rPr>
                <w:rFonts w:ascii="Times New Roman" w:hAnsi="Times New Roman"/>
                <w:sz w:val="26"/>
                <w:szCs w:val="26"/>
              </w:rPr>
              <w:t>GDP - per capita (PPP)</w:t>
            </w:r>
          </w:p>
        </w:tc>
        <w:tc>
          <w:tcPr>
            <w:tcW w:w="41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before="0" w:after="160"/>
              <w:rPr>
                <w:rFonts w:ascii="Times New Roman" w:hAnsi="Times New Roman"/>
                <w:sz w:val="26"/>
                <w:szCs w:val="26"/>
              </w:rPr>
            </w:pPr>
            <w:r>
              <w:rPr>
                <w:rFonts w:ascii="Times New Roman" w:hAnsi="Times New Roman"/>
                <w:sz w:val="26"/>
                <w:szCs w:val="26"/>
              </w:rPr>
              <w:t>US $ 4295.4 (F.Y. 2022-23) (July-June)</w:t>
            </w:r>
          </w:p>
        </w:tc>
      </w:tr>
      <w:tr>
        <w:trPr/>
        <w:tc>
          <w:tcPr>
            <w:tcW w:w="709" w:type="dxa"/>
            <w:tcBorders>
              <w:top w:val="single" w:sz="4" w:space="0" w:color="000000"/>
              <w:left w:val="single" w:sz="4" w:space="0" w:color="000000"/>
              <w:bottom w:val="single" w:sz="4" w:space="0" w:color="000000"/>
            </w:tcBorders>
            <w:shd w:color="auto" w:fill="auto" w:val="clear"/>
          </w:tcPr>
          <w:p>
            <w:pPr>
              <w:pStyle w:val="WW-ListParagraph"/>
              <w:widowControl w:val="false"/>
              <w:numPr>
                <w:ilvl w:val="0"/>
                <w:numId w:val="12"/>
              </w:numPr>
              <w:snapToGrid w:val="false"/>
              <w:spacing w:lineRule="auto" w:line="360" w:before="0" w:after="0"/>
              <w:contextualSpacing/>
              <w:jc w:val="both"/>
              <w:rPr>
                <w:rFonts w:ascii="Times New Roman" w:hAnsi="Times New Roman"/>
                <w:b/>
                <w:sz w:val="26"/>
                <w:szCs w:val="26"/>
                <w:u w:val="single"/>
              </w:rPr>
            </w:pPr>
            <w:r>
              <w:rPr>
                <w:rFonts w:ascii="Times New Roman" w:hAnsi="Times New Roman"/>
                <w:b/>
                <w:sz w:val="26"/>
                <w:szCs w:val="26"/>
                <w:u w:val="single"/>
              </w:rPr>
            </w:r>
          </w:p>
        </w:tc>
        <w:tc>
          <w:tcPr>
            <w:tcW w:w="3904"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360" w:before="0" w:after="160"/>
              <w:jc w:val="both"/>
              <w:rPr>
                <w:rFonts w:ascii="Times New Roman" w:hAnsi="Times New Roman"/>
              </w:rPr>
            </w:pPr>
            <w:r>
              <w:rPr>
                <w:rFonts w:ascii="Times New Roman" w:hAnsi="Times New Roman"/>
                <w:sz w:val="26"/>
                <w:szCs w:val="26"/>
              </w:rPr>
              <w:t xml:space="preserve">Per Capita Income                       </w:t>
            </w:r>
          </w:p>
        </w:tc>
        <w:tc>
          <w:tcPr>
            <w:tcW w:w="41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before="0" w:after="160"/>
              <w:rPr>
                <w:rFonts w:ascii="Times New Roman" w:hAnsi="Times New Roman"/>
                <w:sz w:val="26"/>
                <w:szCs w:val="26"/>
              </w:rPr>
            </w:pPr>
            <w:r>
              <w:rPr>
                <w:rFonts w:ascii="Times New Roman" w:hAnsi="Times New Roman"/>
                <w:sz w:val="26"/>
                <w:szCs w:val="26"/>
              </w:rPr>
              <w:t xml:space="preserve">US $ </w:t>
              <w:tab/>
              <w:t>4,585.331 (June 2022).</w:t>
            </w:r>
          </w:p>
        </w:tc>
      </w:tr>
      <w:tr>
        <w:trPr>
          <w:trHeight w:val="315" w:hRule="atLeast"/>
          <w:cantSplit w:val="true"/>
        </w:trPr>
        <w:tc>
          <w:tcPr>
            <w:tcW w:w="709" w:type="dxa"/>
            <w:vMerge w:val="restart"/>
            <w:tcBorders>
              <w:top w:val="single" w:sz="4" w:space="0" w:color="000000"/>
              <w:left w:val="single" w:sz="4" w:space="0" w:color="000000"/>
              <w:bottom w:val="single" w:sz="4" w:space="0" w:color="000000"/>
            </w:tcBorders>
            <w:shd w:color="auto" w:fill="auto" w:val="clear"/>
          </w:tcPr>
          <w:p>
            <w:pPr>
              <w:pStyle w:val="WW-ListParagraph"/>
              <w:widowControl w:val="false"/>
              <w:numPr>
                <w:ilvl w:val="0"/>
                <w:numId w:val="12"/>
              </w:numPr>
              <w:snapToGrid w:val="false"/>
              <w:spacing w:lineRule="auto" w:line="360" w:before="0" w:after="0"/>
              <w:contextualSpacing/>
              <w:jc w:val="both"/>
              <w:rPr>
                <w:rFonts w:ascii="Times New Roman" w:hAnsi="Times New Roman"/>
                <w:b/>
                <w:color w:val="000000"/>
                <w:sz w:val="26"/>
                <w:szCs w:val="26"/>
                <w:u w:val="single"/>
              </w:rPr>
            </w:pPr>
            <w:r>
              <w:rPr>
                <w:rFonts w:ascii="Times New Roman" w:hAnsi="Times New Roman"/>
                <w:b/>
                <w:color w:val="000000"/>
                <w:sz w:val="26"/>
                <w:szCs w:val="26"/>
                <w:u w:val="single"/>
              </w:rPr>
            </w:r>
          </w:p>
        </w:tc>
        <w:tc>
          <w:tcPr>
            <w:tcW w:w="8038"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before="0" w:after="160"/>
              <w:rPr>
                <w:rFonts w:ascii="Times New Roman" w:hAnsi="Times New Roman"/>
              </w:rPr>
            </w:pPr>
            <w:r>
              <w:rPr>
                <w:rFonts w:ascii="Times New Roman" w:hAnsi="Times New Roman"/>
                <w:color w:val="000000"/>
                <w:sz w:val="26"/>
                <w:szCs w:val="26"/>
              </w:rPr>
              <w:t>GDP - Composition, by sector of origin</w:t>
            </w:r>
          </w:p>
        </w:tc>
      </w:tr>
      <w:tr>
        <w:trPr>
          <w:trHeight w:val="510" w:hRule="atLeast"/>
          <w:cantSplit w:val="true"/>
        </w:trPr>
        <w:tc>
          <w:tcPr>
            <w:tcW w:w="709" w:type="dxa"/>
            <w:vMerge w:val="continue"/>
            <w:tcBorders>
              <w:top w:val="single" w:sz="4" w:space="0" w:color="000000"/>
              <w:left w:val="single" w:sz="4" w:space="0" w:color="000000"/>
              <w:bottom w:val="single" w:sz="4" w:space="0" w:color="000000"/>
            </w:tcBorders>
            <w:shd w:color="auto" w:fill="auto" w:val="clear"/>
          </w:tcPr>
          <w:p>
            <w:pPr>
              <w:pStyle w:val="WW-ListParagraph"/>
              <w:widowControl w:val="false"/>
              <w:numPr>
                <w:ilvl w:val="0"/>
                <w:numId w:val="0"/>
              </w:numPr>
              <w:snapToGrid w:val="false"/>
              <w:spacing w:lineRule="auto" w:line="360" w:before="0" w:after="0"/>
              <w:ind w:left="720" w:hanging="0"/>
              <w:contextualSpacing/>
              <w:jc w:val="both"/>
              <w:rPr>
                <w:rFonts w:ascii="Times New Roman" w:hAnsi="Times New Roman"/>
                <w:b/>
                <w:color w:val="000000"/>
                <w:sz w:val="26"/>
                <w:szCs w:val="26"/>
                <w:u w:val="single"/>
              </w:rPr>
            </w:pPr>
            <w:r>
              <w:rPr>
                <w:rFonts w:ascii="Times New Roman" w:hAnsi="Times New Roman"/>
                <w:b/>
                <w:color w:val="000000"/>
                <w:sz w:val="26"/>
                <w:szCs w:val="26"/>
                <w:u w:val="single"/>
              </w:rPr>
            </w:r>
          </w:p>
        </w:tc>
        <w:tc>
          <w:tcPr>
            <w:tcW w:w="3904"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360" w:before="0" w:after="160"/>
              <w:jc w:val="both"/>
              <w:rPr>
                <w:rFonts w:ascii="Times New Roman" w:hAnsi="Times New Roman"/>
              </w:rPr>
            </w:pPr>
            <w:r>
              <w:rPr>
                <w:rFonts w:ascii="Times New Roman" w:hAnsi="Times New Roman"/>
                <w:color w:val="000000"/>
                <w:sz w:val="26"/>
                <w:szCs w:val="26"/>
              </w:rPr>
              <w:t>Agriculture </w:t>
            </w:r>
          </w:p>
        </w:tc>
        <w:tc>
          <w:tcPr>
            <w:tcW w:w="41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before="0" w:after="160"/>
              <w:rPr>
                <w:rFonts w:ascii="Times New Roman" w:hAnsi="Times New Roman"/>
                <w:sz w:val="26"/>
                <w:szCs w:val="26"/>
              </w:rPr>
            </w:pPr>
            <w:r>
              <w:rPr>
                <w:rFonts w:ascii="Times New Roman" w:hAnsi="Times New Roman"/>
                <w:sz w:val="26"/>
                <w:szCs w:val="26"/>
              </w:rPr>
              <w:t>11.57% of GDP</w:t>
            </w:r>
          </w:p>
        </w:tc>
      </w:tr>
      <w:tr>
        <w:trPr>
          <w:trHeight w:val="241" w:hRule="atLeast"/>
          <w:cantSplit w:val="true"/>
        </w:trPr>
        <w:tc>
          <w:tcPr>
            <w:tcW w:w="709" w:type="dxa"/>
            <w:vMerge w:val="continue"/>
            <w:tcBorders>
              <w:top w:val="single" w:sz="4" w:space="0" w:color="000000"/>
              <w:left w:val="single" w:sz="4" w:space="0" w:color="000000"/>
              <w:bottom w:val="single" w:sz="4" w:space="0" w:color="000000"/>
            </w:tcBorders>
            <w:shd w:color="auto" w:fill="auto" w:val="clear"/>
          </w:tcPr>
          <w:p>
            <w:pPr>
              <w:pStyle w:val="WW-ListParagraph"/>
              <w:widowControl w:val="false"/>
              <w:numPr>
                <w:ilvl w:val="0"/>
                <w:numId w:val="0"/>
              </w:numPr>
              <w:snapToGrid w:val="false"/>
              <w:spacing w:lineRule="auto" w:line="360" w:before="0" w:after="0"/>
              <w:ind w:left="720" w:hanging="0"/>
              <w:contextualSpacing/>
              <w:jc w:val="both"/>
              <w:rPr>
                <w:rFonts w:ascii="Times New Roman" w:hAnsi="Times New Roman"/>
                <w:b/>
                <w:color w:val="000000"/>
                <w:sz w:val="26"/>
                <w:szCs w:val="26"/>
                <w:u w:val="single"/>
              </w:rPr>
            </w:pPr>
            <w:r>
              <w:rPr>
                <w:rFonts w:ascii="Times New Roman" w:hAnsi="Times New Roman"/>
                <w:b/>
                <w:color w:val="000000"/>
                <w:sz w:val="26"/>
                <w:szCs w:val="26"/>
                <w:u w:val="single"/>
              </w:rPr>
            </w:r>
          </w:p>
        </w:tc>
        <w:tc>
          <w:tcPr>
            <w:tcW w:w="3904"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360" w:before="0" w:after="160"/>
              <w:jc w:val="both"/>
              <w:rPr>
                <w:rFonts w:ascii="Times New Roman" w:hAnsi="Times New Roman"/>
              </w:rPr>
            </w:pPr>
            <w:r>
              <w:rPr>
                <w:rFonts w:ascii="Times New Roman" w:hAnsi="Times New Roman"/>
                <w:color w:val="000000"/>
                <w:sz w:val="26"/>
                <w:szCs w:val="26"/>
              </w:rPr>
              <w:t>Industry</w:t>
            </w:r>
          </w:p>
        </w:tc>
        <w:tc>
          <w:tcPr>
            <w:tcW w:w="41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before="0" w:after="160"/>
              <w:rPr>
                <w:rFonts w:ascii="Times New Roman" w:hAnsi="Times New Roman"/>
                <w:sz w:val="26"/>
                <w:szCs w:val="26"/>
              </w:rPr>
            </w:pPr>
            <w:r>
              <w:rPr>
                <w:rFonts w:ascii="Times New Roman" w:hAnsi="Times New Roman"/>
                <w:sz w:val="26"/>
                <w:szCs w:val="26"/>
              </w:rPr>
              <w:t>32.01% of GDP</w:t>
            </w:r>
          </w:p>
        </w:tc>
      </w:tr>
      <w:tr>
        <w:trPr>
          <w:trHeight w:val="324" w:hRule="atLeast"/>
          <w:cantSplit w:val="true"/>
        </w:trPr>
        <w:tc>
          <w:tcPr>
            <w:tcW w:w="709" w:type="dxa"/>
            <w:vMerge w:val="continue"/>
            <w:tcBorders>
              <w:top w:val="single" w:sz="4" w:space="0" w:color="000000"/>
              <w:left w:val="single" w:sz="4" w:space="0" w:color="000000"/>
              <w:bottom w:val="single" w:sz="4" w:space="0" w:color="000000"/>
            </w:tcBorders>
            <w:shd w:color="auto" w:fill="auto" w:val="clear"/>
          </w:tcPr>
          <w:p>
            <w:pPr>
              <w:pStyle w:val="WW-ListParagraph"/>
              <w:widowControl w:val="false"/>
              <w:numPr>
                <w:ilvl w:val="0"/>
                <w:numId w:val="0"/>
              </w:numPr>
              <w:snapToGrid w:val="false"/>
              <w:spacing w:lineRule="auto" w:line="360" w:before="0" w:after="0"/>
              <w:ind w:left="720" w:hanging="0"/>
              <w:contextualSpacing/>
              <w:jc w:val="both"/>
              <w:rPr>
                <w:rFonts w:ascii="Times New Roman" w:hAnsi="Times New Roman"/>
                <w:b/>
                <w:color w:val="000000"/>
                <w:sz w:val="26"/>
                <w:szCs w:val="26"/>
                <w:u w:val="single"/>
              </w:rPr>
            </w:pPr>
            <w:r>
              <w:rPr>
                <w:rFonts w:ascii="Times New Roman" w:hAnsi="Times New Roman"/>
                <w:b/>
                <w:color w:val="000000"/>
                <w:sz w:val="26"/>
                <w:szCs w:val="26"/>
                <w:u w:val="single"/>
              </w:rPr>
            </w:r>
          </w:p>
        </w:tc>
        <w:tc>
          <w:tcPr>
            <w:tcW w:w="3904"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360" w:before="0" w:after="160"/>
              <w:jc w:val="both"/>
              <w:rPr>
                <w:rFonts w:ascii="Times New Roman" w:hAnsi="Times New Roman"/>
              </w:rPr>
            </w:pPr>
            <w:r>
              <w:rPr>
                <w:rFonts w:ascii="Times New Roman" w:hAnsi="Times New Roman"/>
                <w:color w:val="000000"/>
                <w:sz w:val="26"/>
                <w:szCs w:val="26"/>
              </w:rPr>
              <w:t>Services </w:t>
            </w:r>
          </w:p>
        </w:tc>
        <w:tc>
          <w:tcPr>
            <w:tcW w:w="41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before="0" w:after="160"/>
              <w:rPr>
                <w:rFonts w:ascii="Times New Roman" w:hAnsi="Times New Roman"/>
                <w:sz w:val="26"/>
                <w:szCs w:val="26"/>
              </w:rPr>
            </w:pPr>
            <w:r>
              <w:rPr>
                <w:rFonts w:ascii="Times New Roman" w:hAnsi="Times New Roman"/>
                <w:sz w:val="26"/>
                <w:szCs w:val="26"/>
              </w:rPr>
              <w:t xml:space="preserve">51.76 % </w:t>
            </w:r>
          </w:p>
        </w:tc>
      </w:tr>
      <w:tr>
        <w:trPr/>
        <w:tc>
          <w:tcPr>
            <w:tcW w:w="709" w:type="dxa"/>
            <w:tcBorders>
              <w:top w:val="single" w:sz="4" w:space="0" w:color="000000"/>
              <w:left w:val="single" w:sz="4" w:space="0" w:color="000000"/>
              <w:bottom w:val="single" w:sz="4" w:space="0" w:color="000000"/>
            </w:tcBorders>
            <w:shd w:color="auto" w:fill="auto" w:val="clear"/>
          </w:tcPr>
          <w:p>
            <w:pPr>
              <w:pStyle w:val="WW-ListParagraph"/>
              <w:widowControl w:val="false"/>
              <w:numPr>
                <w:ilvl w:val="0"/>
                <w:numId w:val="12"/>
              </w:numPr>
              <w:snapToGrid w:val="false"/>
              <w:spacing w:lineRule="auto" w:line="360" w:before="0" w:after="0"/>
              <w:contextualSpacing/>
              <w:jc w:val="both"/>
              <w:rPr>
                <w:rFonts w:ascii="Times New Roman" w:hAnsi="Times New Roman"/>
                <w:b/>
                <w:color w:val="000000"/>
                <w:sz w:val="26"/>
                <w:szCs w:val="26"/>
                <w:u w:val="single"/>
              </w:rPr>
            </w:pPr>
            <w:r>
              <w:rPr>
                <w:rFonts w:ascii="Times New Roman" w:hAnsi="Times New Roman"/>
                <w:b/>
                <w:color w:val="000000"/>
                <w:sz w:val="26"/>
                <w:szCs w:val="26"/>
                <w:u w:val="single"/>
              </w:rPr>
            </w:r>
          </w:p>
        </w:tc>
        <w:tc>
          <w:tcPr>
            <w:tcW w:w="3904"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360" w:before="0" w:after="160"/>
              <w:jc w:val="both"/>
              <w:rPr>
                <w:rFonts w:ascii="Times New Roman" w:hAnsi="Times New Roman"/>
              </w:rPr>
            </w:pPr>
            <w:r>
              <w:rPr>
                <w:rFonts w:ascii="Times New Roman" w:hAnsi="Times New Roman"/>
                <w:color w:val="000000"/>
                <w:sz w:val="26"/>
                <w:szCs w:val="26"/>
              </w:rPr>
              <w:t>Major Agricultural products</w:t>
            </w:r>
          </w:p>
        </w:tc>
        <w:tc>
          <w:tcPr>
            <w:tcW w:w="41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before="0" w:after="160"/>
              <w:jc w:val="center"/>
              <w:rPr>
                <w:rFonts w:ascii="Times New Roman" w:hAnsi="Times New Roman"/>
              </w:rPr>
            </w:pPr>
            <w:r>
              <w:rPr>
                <w:rFonts w:ascii="Times New Roman" w:hAnsi="Times New Roman"/>
                <w:color w:val="000000"/>
                <w:sz w:val="26"/>
                <w:szCs w:val="26"/>
                <w:shd w:fill="FFFFFF" w:val="clear"/>
              </w:rPr>
              <w:t>Cotton, Fresh fruits, Vegetables etc.</w:t>
            </w:r>
          </w:p>
        </w:tc>
      </w:tr>
      <w:tr>
        <w:trPr/>
        <w:tc>
          <w:tcPr>
            <w:tcW w:w="709" w:type="dxa"/>
            <w:tcBorders>
              <w:top w:val="single" w:sz="4" w:space="0" w:color="000000"/>
              <w:left w:val="single" w:sz="4" w:space="0" w:color="000000"/>
              <w:bottom w:val="single" w:sz="4" w:space="0" w:color="000000"/>
            </w:tcBorders>
            <w:shd w:color="auto" w:fill="auto" w:val="clear"/>
          </w:tcPr>
          <w:p>
            <w:pPr>
              <w:pStyle w:val="WW-ListParagraph"/>
              <w:widowControl w:val="false"/>
              <w:numPr>
                <w:ilvl w:val="0"/>
                <w:numId w:val="12"/>
              </w:numPr>
              <w:snapToGrid w:val="false"/>
              <w:spacing w:lineRule="auto" w:line="360" w:before="0" w:after="0"/>
              <w:contextualSpacing/>
              <w:jc w:val="both"/>
              <w:rPr>
                <w:rFonts w:ascii="Times New Roman" w:hAnsi="Times New Roman"/>
                <w:b/>
                <w:color w:val="000000"/>
                <w:sz w:val="26"/>
                <w:szCs w:val="26"/>
                <w:u w:val="single"/>
              </w:rPr>
            </w:pPr>
            <w:r>
              <w:rPr>
                <w:rFonts w:ascii="Times New Roman" w:hAnsi="Times New Roman"/>
                <w:b/>
                <w:color w:val="000000"/>
                <w:sz w:val="26"/>
                <w:szCs w:val="26"/>
                <w:u w:val="single"/>
              </w:rPr>
            </w:r>
          </w:p>
        </w:tc>
        <w:tc>
          <w:tcPr>
            <w:tcW w:w="3904"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360" w:before="0" w:after="160"/>
              <w:jc w:val="both"/>
              <w:rPr>
                <w:rFonts w:ascii="Times New Roman" w:hAnsi="Times New Roman"/>
              </w:rPr>
            </w:pPr>
            <w:r>
              <w:rPr>
                <w:rFonts w:ascii="Times New Roman" w:hAnsi="Times New Roman"/>
                <w:color w:val="000000"/>
                <w:sz w:val="26"/>
                <w:szCs w:val="26"/>
              </w:rPr>
              <w:t>Major Industrial products</w:t>
            </w:r>
          </w:p>
        </w:tc>
        <w:tc>
          <w:tcPr>
            <w:tcW w:w="41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before="0" w:after="160"/>
              <w:rPr>
                <w:rFonts w:ascii="Times New Roman" w:hAnsi="Times New Roman"/>
              </w:rPr>
            </w:pPr>
            <w:r>
              <w:rPr>
                <w:rFonts w:ascii="Times New Roman" w:hAnsi="Times New Roman"/>
                <w:color w:val="000000"/>
                <w:sz w:val="26"/>
                <w:szCs w:val="26"/>
                <w:shd w:fill="FFFFFF" w:val="clear"/>
              </w:rPr>
              <w:t>Textiles and refined petroleum.</w:t>
            </w:r>
          </w:p>
        </w:tc>
      </w:tr>
      <w:tr>
        <w:trPr/>
        <w:tc>
          <w:tcPr>
            <w:tcW w:w="709" w:type="dxa"/>
            <w:tcBorders>
              <w:top w:val="single" w:sz="4" w:space="0" w:color="000000"/>
              <w:left w:val="single" w:sz="4" w:space="0" w:color="000000"/>
              <w:bottom w:val="single" w:sz="4" w:space="0" w:color="000000"/>
            </w:tcBorders>
            <w:shd w:color="auto" w:fill="auto" w:val="clear"/>
          </w:tcPr>
          <w:p>
            <w:pPr>
              <w:pStyle w:val="WW-ListParagraph"/>
              <w:widowControl w:val="false"/>
              <w:numPr>
                <w:ilvl w:val="0"/>
                <w:numId w:val="12"/>
              </w:numPr>
              <w:snapToGrid w:val="false"/>
              <w:spacing w:lineRule="auto" w:line="360" w:before="0" w:after="0"/>
              <w:contextualSpacing/>
              <w:jc w:val="both"/>
              <w:rPr>
                <w:rFonts w:ascii="Times New Roman" w:hAnsi="Times New Roman"/>
                <w:b/>
                <w:color w:val="000000"/>
                <w:sz w:val="26"/>
                <w:szCs w:val="26"/>
                <w:u w:val="single"/>
              </w:rPr>
            </w:pPr>
            <w:r>
              <w:rPr>
                <w:rFonts w:ascii="Times New Roman" w:hAnsi="Times New Roman"/>
                <w:b/>
                <w:color w:val="000000"/>
                <w:sz w:val="26"/>
                <w:szCs w:val="26"/>
                <w:u w:val="single"/>
              </w:rPr>
            </w:r>
          </w:p>
        </w:tc>
        <w:tc>
          <w:tcPr>
            <w:tcW w:w="3904"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360" w:before="0" w:after="160"/>
              <w:jc w:val="both"/>
              <w:rPr>
                <w:rFonts w:ascii="Times New Roman" w:hAnsi="Times New Roman"/>
                <w:color w:val="000000"/>
              </w:rPr>
            </w:pPr>
            <w:r>
              <w:rPr>
                <w:rFonts w:ascii="Times New Roman" w:hAnsi="Times New Roman"/>
                <w:color w:val="000000"/>
                <w:sz w:val="26"/>
                <w:szCs w:val="26"/>
              </w:rPr>
              <w:t>Industrial production growth rate</w:t>
            </w:r>
          </w:p>
        </w:tc>
        <w:tc>
          <w:tcPr>
            <w:tcW w:w="4134" w:type="dxa"/>
            <w:tcBorders>
              <w:top w:val="single" w:sz="4" w:space="0" w:color="000000"/>
              <w:left w:val="single" w:sz="4" w:space="0" w:color="000000"/>
              <w:bottom w:val="single" w:sz="4" w:space="0" w:color="000000"/>
              <w:right w:val="single" w:sz="4" w:space="0" w:color="000000"/>
            </w:tcBorders>
            <w:shd w:color="auto" w:fill="auto" w:val="clear"/>
          </w:tcPr>
          <w:p>
            <w:pPr>
              <w:pStyle w:val="WW-ListParagraph"/>
              <w:widowControl w:val="false"/>
              <w:spacing w:lineRule="auto" w:line="252" w:before="0" w:after="160"/>
              <w:ind w:left="0" w:hanging="0"/>
              <w:textAlignment w:val="center"/>
              <w:rPr>
                <w:rFonts w:ascii="Times New Roman" w:hAnsi="Times New Roman"/>
                <w:color w:val="000000"/>
                <w:sz w:val="26"/>
                <w:szCs w:val="26"/>
                <w:shd w:fill="FFFFFF" w:val="clear"/>
              </w:rPr>
            </w:pPr>
            <w:r>
              <w:rPr>
                <w:rFonts w:ascii="Times New Roman" w:hAnsi="Times New Roman"/>
                <w:color w:val="000000"/>
                <w:sz w:val="26"/>
                <w:szCs w:val="26"/>
                <w:shd w:fill="FFFFFF" w:val="clear"/>
              </w:rPr>
              <w:t>8.8 % (Dec 2022).</w:t>
            </w:r>
          </w:p>
        </w:tc>
      </w:tr>
      <w:tr>
        <w:trPr/>
        <w:tc>
          <w:tcPr>
            <w:tcW w:w="709" w:type="dxa"/>
            <w:tcBorders>
              <w:top w:val="single" w:sz="4" w:space="0" w:color="000000"/>
              <w:left w:val="single" w:sz="4" w:space="0" w:color="000000"/>
              <w:bottom w:val="single" w:sz="4" w:space="0" w:color="000000"/>
            </w:tcBorders>
            <w:shd w:color="auto" w:fill="auto" w:val="clear"/>
          </w:tcPr>
          <w:p>
            <w:pPr>
              <w:pStyle w:val="WW-ListParagraph"/>
              <w:widowControl w:val="false"/>
              <w:numPr>
                <w:ilvl w:val="0"/>
                <w:numId w:val="12"/>
              </w:numPr>
              <w:snapToGrid w:val="false"/>
              <w:spacing w:lineRule="auto" w:line="360" w:before="0" w:after="0"/>
              <w:contextualSpacing/>
              <w:jc w:val="both"/>
              <w:rPr>
                <w:rFonts w:ascii="Times New Roman" w:hAnsi="Times New Roman" w:eastAsia="Times New Roman"/>
                <w:b/>
                <w:color w:val="000000"/>
                <w:sz w:val="26"/>
                <w:szCs w:val="26"/>
                <w:u w:val="single"/>
                <w:lang w:eastAsia="en-IN"/>
              </w:rPr>
            </w:pPr>
            <w:r>
              <w:rPr>
                <w:rFonts w:eastAsia="Times New Roman" w:ascii="Times New Roman" w:hAnsi="Times New Roman"/>
                <w:b/>
                <w:color w:val="000000"/>
                <w:sz w:val="26"/>
                <w:szCs w:val="26"/>
                <w:u w:val="single"/>
                <w:lang w:eastAsia="en-IN"/>
              </w:rPr>
            </w:r>
          </w:p>
        </w:tc>
        <w:tc>
          <w:tcPr>
            <w:tcW w:w="3904"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360" w:before="0" w:after="160"/>
              <w:jc w:val="both"/>
              <w:rPr>
                <w:rFonts w:ascii="Times New Roman" w:hAnsi="Times New Roman"/>
                <w:color w:val="000000"/>
              </w:rPr>
            </w:pPr>
            <w:r>
              <w:rPr>
                <w:rFonts w:ascii="Times New Roman" w:hAnsi="Times New Roman"/>
                <w:color w:val="000000"/>
                <w:sz w:val="26"/>
                <w:szCs w:val="26"/>
              </w:rPr>
              <w:t>Unemployment rate</w:t>
            </w:r>
          </w:p>
        </w:tc>
        <w:tc>
          <w:tcPr>
            <w:tcW w:w="41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before="0" w:after="160"/>
              <w:rPr>
                <w:rFonts w:ascii="Times New Roman" w:hAnsi="Times New Roman"/>
                <w:color w:val="000000"/>
                <w:sz w:val="26"/>
                <w:szCs w:val="26"/>
                <w:shd w:fill="FFFFFF" w:val="clear"/>
              </w:rPr>
            </w:pPr>
            <w:r>
              <w:rPr>
                <w:rFonts w:ascii="Times New Roman" w:hAnsi="Times New Roman"/>
                <w:color w:val="000000"/>
                <w:sz w:val="26"/>
                <w:szCs w:val="26"/>
                <w:shd w:fill="FFFFFF" w:val="clear"/>
              </w:rPr>
              <w:t xml:space="preserve">7.1 % (Q3 of 2023). </w:t>
            </w:r>
          </w:p>
        </w:tc>
      </w:tr>
      <w:tr>
        <w:trPr/>
        <w:tc>
          <w:tcPr>
            <w:tcW w:w="709" w:type="dxa"/>
            <w:tcBorders>
              <w:top w:val="single" w:sz="4" w:space="0" w:color="000000"/>
              <w:left w:val="single" w:sz="4" w:space="0" w:color="000000"/>
              <w:bottom w:val="single" w:sz="4" w:space="0" w:color="000000"/>
            </w:tcBorders>
            <w:shd w:color="auto" w:fill="auto" w:val="clear"/>
          </w:tcPr>
          <w:p>
            <w:pPr>
              <w:pStyle w:val="WW-ListParagraph"/>
              <w:widowControl w:val="false"/>
              <w:numPr>
                <w:ilvl w:val="0"/>
                <w:numId w:val="12"/>
              </w:numPr>
              <w:snapToGrid w:val="false"/>
              <w:spacing w:lineRule="auto" w:line="360" w:before="0" w:after="0"/>
              <w:contextualSpacing/>
              <w:jc w:val="both"/>
              <w:rPr>
                <w:rFonts w:ascii="Times New Roman" w:hAnsi="Times New Roman"/>
                <w:b/>
                <w:color w:val="000000"/>
                <w:sz w:val="26"/>
                <w:szCs w:val="26"/>
                <w:u w:val="single"/>
              </w:rPr>
            </w:pPr>
            <w:r>
              <w:rPr>
                <w:rFonts w:ascii="Times New Roman" w:hAnsi="Times New Roman"/>
                <w:b/>
                <w:color w:val="000000"/>
                <w:sz w:val="26"/>
                <w:szCs w:val="26"/>
                <w:u w:val="single"/>
              </w:rPr>
            </w:r>
          </w:p>
        </w:tc>
        <w:tc>
          <w:tcPr>
            <w:tcW w:w="3904"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360" w:before="0" w:after="160"/>
              <w:jc w:val="both"/>
              <w:rPr>
                <w:rFonts w:ascii="Times New Roman" w:hAnsi="Times New Roman"/>
              </w:rPr>
            </w:pPr>
            <w:r>
              <w:rPr>
                <w:rFonts w:ascii="Times New Roman" w:hAnsi="Times New Roman"/>
                <w:sz w:val="26"/>
                <w:szCs w:val="26"/>
              </w:rPr>
              <w:t>Inflation rate (consumer prices)</w:t>
            </w:r>
          </w:p>
        </w:tc>
        <w:tc>
          <w:tcPr>
            <w:tcW w:w="41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before="0" w:after="160"/>
              <w:rPr>
                <w:rFonts w:ascii="Times New Roman" w:hAnsi="Times New Roman"/>
                <w:color w:val="000000"/>
                <w:sz w:val="26"/>
                <w:szCs w:val="26"/>
                <w:shd w:fill="FFFFFF" w:val="clear"/>
              </w:rPr>
            </w:pPr>
            <w:r>
              <w:rPr>
                <w:rFonts w:ascii="Times New Roman" w:hAnsi="Times New Roman"/>
                <w:color w:val="000000"/>
                <w:sz w:val="26"/>
                <w:szCs w:val="26"/>
                <w:shd w:fill="FFFFFF" w:val="clear"/>
              </w:rPr>
              <w:t>29.310%  (June 2024).</w:t>
            </w:r>
          </w:p>
        </w:tc>
      </w:tr>
      <w:tr>
        <w:trPr/>
        <w:tc>
          <w:tcPr>
            <w:tcW w:w="709" w:type="dxa"/>
            <w:tcBorders>
              <w:top w:val="single" w:sz="4" w:space="0" w:color="000000"/>
              <w:left w:val="single" w:sz="4" w:space="0" w:color="000000"/>
              <w:bottom w:val="single" w:sz="4" w:space="0" w:color="000000"/>
            </w:tcBorders>
            <w:shd w:color="auto" w:fill="auto" w:val="clear"/>
          </w:tcPr>
          <w:p>
            <w:pPr>
              <w:pStyle w:val="WW-ListParagraph"/>
              <w:widowControl w:val="false"/>
              <w:numPr>
                <w:ilvl w:val="0"/>
                <w:numId w:val="12"/>
              </w:numPr>
              <w:snapToGrid w:val="false"/>
              <w:spacing w:lineRule="auto" w:line="360" w:before="0" w:after="0"/>
              <w:contextualSpacing/>
              <w:jc w:val="both"/>
              <w:rPr>
                <w:rFonts w:ascii="Times New Roman" w:hAnsi="Times New Roman"/>
                <w:b/>
                <w:color w:val="000000"/>
                <w:sz w:val="26"/>
                <w:szCs w:val="26"/>
                <w:u w:val="single"/>
              </w:rPr>
            </w:pPr>
            <w:r>
              <w:rPr>
                <w:rFonts w:ascii="Times New Roman" w:hAnsi="Times New Roman"/>
                <w:b/>
                <w:color w:val="000000"/>
                <w:sz w:val="26"/>
                <w:szCs w:val="26"/>
                <w:u w:val="single"/>
              </w:rPr>
            </w:r>
          </w:p>
        </w:tc>
        <w:tc>
          <w:tcPr>
            <w:tcW w:w="3904"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360" w:before="0" w:after="160"/>
              <w:jc w:val="both"/>
              <w:rPr>
                <w:rFonts w:ascii="Times New Roman" w:hAnsi="Times New Roman"/>
              </w:rPr>
            </w:pPr>
            <w:r>
              <w:rPr>
                <w:rFonts w:ascii="Times New Roman" w:hAnsi="Times New Roman"/>
                <w:color w:val="000000"/>
                <w:sz w:val="26"/>
                <w:szCs w:val="26"/>
              </w:rPr>
              <w:t>Population below poverty line</w:t>
            </w:r>
          </w:p>
        </w:tc>
        <w:tc>
          <w:tcPr>
            <w:tcW w:w="41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before="0" w:after="160"/>
              <w:rPr>
                <w:rFonts w:ascii="Times New Roman" w:hAnsi="Times New Roman"/>
                <w:color w:val="000000"/>
                <w:sz w:val="26"/>
                <w:szCs w:val="26"/>
                <w:shd w:fill="FFFFFF" w:val="clear"/>
              </w:rPr>
            </w:pPr>
            <w:r>
              <w:rPr>
                <w:rFonts w:ascii="Times New Roman" w:hAnsi="Times New Roman"/>
                <w:color w:val="000000"/>
                <w:sz w:val="26"/>
                <w:szCs w:val="26"/>
                <w:shd w:fill="FFFFFF" w:val="clear"/>
              </w:rPr>
              <w:t>29.7% (Nov 2021).</w:t>
            </w:r>
          </w:p>
        </w:tc>
      </w:tr>
    </w:tbl>
    <w:p>
      <w:pPr>
        <w:pStyle w:val="ListParagraph"/>
        <w:spacing w:before="0" w:after="0"/>
        <w:ind w:left="720" w:right="425" w:hanging="0"/>
        <w:contextualSpacing/>
        <w:rPr>
          <w:rFonts w:ascii="Times New Roman" w:hAnsi="Times New Roman"/>
        </w:rPr>
      </w:pPr>
      <w:r>
        <w:rPr>
          <w:rFonts w:eastAsia="Times New Roman" w:ascii="Times New Roman" w:hAnsi="Times New Roman"/>
          <w:bCs/>
          <w:i/>
          <w:sz w:val="26"/>
          <w:szCs w:val="26"/>
        </w:rPr>
        <w:t xml:space="preserve">                                                </w:t>
      </w:r>
      <w:r>
        <w:rPr>
          <w:rFonts w:eastAsia="Times New Roman" w:ascii="Times New Roman" w:hAnsi="Times New Roman"/>
          <w:bCs/>
          <w:i/>
          <w:sz w:val="26"/>
          <w:szCs w:val="26"/>
        </w:rPr>
        <w:tab/>
      </w:r>
      <w:r>
        <w:rPr>
          <w:rFonts w:ascii="Times New Roman" w:hAnsi="Times New Roman"/>
          <w:bCs/>
          <w:i/>
          <w:sz w:val="26"/>
          <w:szCs w:val="26"/>
        </w:rPr>
        <w:t xml:space="preserve">Source: World Bank, CBE of Egypt. </w:t>
      </w:r>
    </w:p>
    <w:p>
      <w:pPr>
        <w:pStyle w:val="ListParagraph"/>
        <w:spacing w:before="0" w:after="0"/>
        <w:ind w:left="720" w:right="425" w:hanging="0"/>
        <w:contextualSpacing/>
        <w:rPr>
          <w:rFonts w:ascii="Times New Roman" w:hAnsi="Times New Roman" w:eastAsia="Times New Roman"/>
          <w:bCs/>
          <w:i/>
          <w:i/>
          <w:sz w:val="26"/>
          <w:szCs w:val="26"/>
        </w:rPr>
      </w:pPr>
      <w:r>
        <w:rPr>
          <w:rFonts w:eastAsia="Times New Roman" w:ascii="Times New Roman" w:hAnsi="Times New Roman"/>
          <w:bCs/>
          <w:i/>
          <w:sz w:val="26"/>
          <w:szCs w:val="26"/>
        </w:rPr>
      </w:r>
    </w:p>
    <w:p>
      <w:pPr>
        <w:pStyle w:val="ListParagraph"/>
        <w:numPr>
          <w:ilvl w:val="0"/>
          <w:numId w:val="15"/>
        </w:numPr>
        <w:spacing w:before="0" w:after="0"/>
        <w:ind w:left="360" w:right="425" w:hanging="360"/>
        <w:contextualSpacing/>
        <w:rPr>
          <w:rFonts w:ascii="Times New Roman" w:hAnsi="Times New Roman"/>
        </w:rPr>
      </w:pPr>
      <w:r>
        <w:rPr>
          <w:rFonts w:ascii="Times New Roman" w:hAnsi="Times New Roman"/>
          <w:b/>
          <w:iCs/>
          <w:sz w:val="26"/>
          <w:szCs w:val="26"/>
          <w:u w:val="single"/>
        </w:rPr>
        <w:t>Comparative Indicators</w:t>
      </w:r>
    </w:p>
    <w:p>
      <w:pPr>
        <w:pStyle w:val="ListParagraph"/>
        <w:spacing w:before="0" w:after="0"/>
        <w:ind w:left="360" w:right="425" w:hanging="0"/>
        <w:contextualSpacing/>
        <w:rPr>
          <w:rFonts w:ascii="Times New Roman" w:hAnsi="Times New Roman"/>
          <w:b/>
          <w:iCs/>
          <w:color w:val="5B9BD5"/>
          <w:sz w:val="26"/>
          <w:szCs w:val="26"/>
          <w:u w:val="single"/>
        </w:rPr>
      </w:pPr>
      <w:r>
        <w:rPr>
          <w:rFonts w:ascii="Times New Roman" w:hAnsi="Times New Roman"/>
          <w:b/>
          <w:iCs/>
          <w:color w:val="5B9BD5"/>
          <w:sz w:val="26"/>
          <w:szCs w:val="26"/>
          <w:u w:val="single"/>
        </w:rPr>
      </w:r>
    </w:p>
    <w:tbl>
      <w:tblPr>
        <w:tblW w:w="8398" w:type="dxa"/>
        <w:jc w:val="left"/>
        <w:tblInd w:w="355" w:type="dxa"/>
        <w:tblLayout w:type="fixed"/>
        <w:tblCellMar>
          <w:top w:w="0" w:type="dxa"/>
          <w:left w:w="108" w:type="dxa"/>
          <w:bottom w:w="0" w:type="dxa"/>
          <w:right w:w="108" w:type="dxa"/>
        </w:tblCellMar>
        <w:tblLook w:val="0000" w:noHBand="0" w:noVBand="0" w:firstColumn="0" w:lastRow="0" w:lastColumn="0" w:firstRow="0"/>
      </w:tblPr>
      <w:tblGrid>
        <w:gridCol w:w="2469"/>
        <w:gridCol w:w="2553"/>
        <w:gridCol w:w="3376"/>
      </w:tblGrid>
      <w:tr>
        <w:trPr/>
        <w:tc>
          <w:tcPr>
            <w:tcW w:w="2469" w:type="dxa"/>
            <w:tcBorders>
              <w:top w:val="single" w:sz="4" w:space="0" w:color="000000"/>
              <w:left w:val="single" w:sz="4" w:space="0" w:color="000000"/>
              <w:bottom w:val="single" w:sz="4" w:space="0" w:color="000000"/>
            </w:tcBorders>
            <w:shd w:color="auto" w:fill="auto" w:val="clear"/>
          </w:tcPr>
          <w:p>
            <w:pPr>
              <w:pStyle w:val="ListParagraph"/>
              <w:widowControl w:val="false"/>
              <w:spacing w:before="0" w:after="0"/>
              <w:ind w:left="0" w:right="425" w:hanging="0"/>
              <w:contextualSpacing/>
              <w:rPr>
                <w:rFonts w:ascii="Times New Roman" w:hAnsi="Times New Roman"/>
                <w:color w:val="000000"/>
                <w:sz w:val="26"/>
                <w:szCs w:val="26"/>
              </w:rPr>
            </w:pPr>
            <w:r>
              <w:rPr>
                <w:rFonts w:ascii="Times New Roman" w:hAnsi="Times New Roman"/>
                <w:color w:val="000000"/>
                <w:sz w:val="26"/>
                <w:szCs w:val="26"/>
              </w:rPr>
              <w:t>Index</w:t>
            </w:r>
          </w:p>
        </w:tc>
        <w:tc>
          <w:tcPr>
            <w:tcW w:w="2553" w:type="dxa"/>
            <w:tcBorders>
              <w:top w:val="single" w:sz="4" w:space="0" w:color="000000"/>
              <w:left w:val="single" w:sz="4" w:space="0" w:color="000000"/>
              <w:bottom w:val="single" w:sz="4" w:space="0" w:color="000000"/>
            </w:tcBorders>
            <w:shd w:color="auto" w:fill="auto" w:val="clear"/>
          </w:tcPr>
          <w:p>
            <w:pPr>
              <w:pStyle w:val="ListParagraph"/>
              <w:widowControl w:val="false"/>
              <w:spacing w:before="0" w:after="0"/>
              <w:ind w:left="0" w:right="425" w:hanging="0"/>
              <w:contextualSpacing/>
              <w:rPr>
                <w:rFonts w:ascii="Times New Roman" w:hAnsi="Times New Roman"/>
                <w:color w:val="000000"/>
                <w:sz w:val="26"/>
                <w:szCs w:val="26"/>
              </w:rPr>
            </w:pPr>
            <w:r>
              <w:rPr>
                <w:rFonts w:ascii="Times New Roman" w:hAnsi="Times New Roman"/>
                <w:color w:val="000000"/>
                <w:sz w:val="26"/>
                <w:szCs w:val="26"/>
              </w:rPr>
              <w:t>India</w:t>
            </w:r>
          </w:p>
        </w:tc>
        <w:tc>
          <w:tcPr>
            <w:tcW w:w="3376"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pacing w:before="0" w:after="0"/>
              <w:ind w:left="0" w:right="425" w:hanging="0"/>
              <w:contextualSpacing/>
              <w:rPr>
                <w:rFonts w:ascii="Times New Roman" w:hAnsi="Times New Roman"/>
                <w:color w:val="000000"/>
                <w:sz w:val="26"/>
                <w:szCs w:val="26"/>
              </w:rPr>
            </w:pPr>
            <w:r>
              <w:rPr>
                <w:rFonts w:ascii="Times New Roman" w:hAnsi="Times New Roman"/>
                <w:color w:val="000000"/>
                <w:sz w:val="26"/>
                <w:szCs w:val="26"/>
              </w:rPr>
              <w:t>Egypt</w:t>
            </w:r>
          </w:p>
        </w:tc>
      </w:tr>
      <w:tr>
        <w:trPr/>
        <w:tc>
          <w:tcPr>
            <w:tcW w:w="2469" w:type="dxa"/>
            <w:tcBorders>
              <w:top w:val="single" w:sz="4" w:space="0" w:color="000000"/>
              <w:left w:val="single" w:sz="4" w:space="0" w:color="000000"/>
              <w:bottom w:val="single" w:sz="4" w:space="0" w:color="000000"/>
            </w:tcBorders>
            <w:shd w:color="auto" w:fill="auto" w:val="clear"/>
          </w:tcPr>
          <w:p>
            <w:pPr>
              <w:pStyle w:val="Heading"/>
              <w:widowControl w:val="false"/>
              <w:spacing w:lineRule="auto" w:line="276" w:before="0" w:after="0"/>
              <w:contextualSpacing/>
              <w:rPr>
                <w:rFonts w:ascii="Times New Roman" w:hAnsi="Times New Roman"/>
                <w:b w:val="false"/>
                <w:color w:val="000000"/>
                <w:sz w:val="26"/>
                <w:szCs w:val="26"/>
              </w:rPr>
            </w:pPr>
            <w:r>
              <w:rPr>
                <w:rFonts w:ascii="Times New Roman" w:hAnsi="Times New Roman"/>
                <w:b w:val="false"/>
                <w:color w:val="000000"/>
                <w:sz w:val="26"/>
                <w:szCs w:val="26"/>
              </w:rPr>
              <w:t>HDI (UNDP)</w:t>
            </w:r>
          </w:p>
        </w:tc>
        <w:tc>
          <w:tcPr>
            <w:tcW w:w="2553"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76" w:before="0" w:after="0"/>
              <w:jc w:val="center"/>
              <w:rPr>
                <w:rFonts w:ascii="Times New Roman" w:hAnsi="Times New Roman"/>
                <w:color w:val="000000"/>
                <w:sz w:val="26"/>
                <w:szCs w:val="26"/>
              </w:rPr>
            </w:pPr>
            <w:r>
              <w:rPr>
                <w:rFonts w:ascii="Times New Roman" w:hAnsi="Times New Roman"/>
                <w:color w:val="000000"/>
                <w:sz w:val="26"/>
                <w:szCs w:val="26"/>
              </w:rPr>
              <w:t>0.633 (132nd)</w:t>
            </w:r>
          </w:p>
        </w:tc>
        <w:tc>
          <w:tcPr>
            <w:tcW w:w="3376" w:type="dxa"/>
            <w:tcBorders>
              <w:top w:val="single" w:sz="4" w:space="0" w:color="000000"/>
              <w:left w:val="single" w:sz="4" w:space="0" w:color="000000"/>
              <w:bottom w:val="single" w:sz="4" w:space="0" w:color="000000"/>
              <w:right w:val="single" w:sz="4" w:space="0" w:color="000000"/>
            </w:tcBorders>
            <w:shd w:color="auto" w:fill="auto" w:val="clear"/>
          </w:tcPr>
          <w:p>
            <w:pPr>
              <w:pStyle w:val="Heading"/>
              <w:widowControl w:val="false"/>
              <w:spacing w:lineRule="auto" w:line="276" w:before="0" w:after="0"/>
              <w:contextualSpacing/>
              <w:jc w:val="center"/>
              <w:rPr>
                <w:rFonts w:ascii="Times New Roman" w:hAnsi="Times New Roman"/>
                <w:b w:val="false"/>
                <w:color w:val="000000"/>
                <w:sz w:val="26"/>
                <w:szCs w:val="26"/>
              </w:rPr>
            </w:pPr>
            <w:r>
              <w:rPr>
                <w:rFonts w:ascii="Times New Roman" w:hAnsi="Times New Roman"/>
                <w:b w:val="false"/>
                <w:color w:val="000000"/>
                <w:sz w:val="26"/>
                <w:szCs w:val="26"/>
              </w:rPr>
              <w:t>0.73 (97th)</w:t>
            </w:r>
          </w:p>
        </w:tc>
      </w:tr>
      <w:tr>
        <w:trPr/>
        <w:tc>
          <w:tcPr>
            <w:tcW w:w="2469" w:type="dxa"/>
            <w:tcBorders>
              <w:top w:val="single" w:sz="4" w:space="0" w:color="000000"/>
              <w:left w:val="single" w:sz="4" w:space="0" w:color="000000"/>
              <w:bottom w:val="single" w:sz="4" w:space="0" w:color="000000"/>
            </w:tcBorders>
            <w:shd w:color="auto" w:fill="auto" w:val="clear"/>
          </w:tcPr>
          <w:p>
            <w:pPr>
              <w:pStyle w:val="Heading"/>
              <w:widowControl w:val="false"/>
              <w:spacing w:lineRule="auto" w:line="276" w:before="0" w:after="0"/>
              <w:contextualSpacing/>
              <w:rPr>
                <w:rFonts w:ascii="Times New Roman" w:hAnsi="Times New Roman"/>
                <w:b w:val="false"/>
                <w:color w:val="000000"/>
                <w:sz w:val="26"/>
                <w:szCs w:val="26"/>
              </w:rPr>
            </w:pPr>
            <w:r>
              <w:rPr>
                <w:rFonts w:ascii="Times New Roman" w:hAnsi="Times New Roman"/>
                <w:b w:val="false"/>
                <w:color w:val="000000"/>
                <w:sz w:val="26"/>
                <w:szCs w:val="26"/>
              </w:rPr>
              <w:t>GCI (WEF)</w:t>
            </w:r>
          </w:p>
        </w:tc>
        <w:tc>
          <w:tcPr>
            <w:tcW w:w="2553"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76" w:before="0" w:after="0"/>
              <w:jc w:val="center"/>
              <w:rPr>
                <w:rFonts w:ascii="Times New Roman" w:hAnsi="Times New Roman"/>
                <w:color w:val="000000"/>
                <w:sz w:val="26"/>
                <w:szCs w:val="26"/>
              </w:rPr>
            </w:pPr>
            <w:r>
              <w:rPr>
                <w:rFonts w:ascii="Times New Roman" w:hAnsi="Times New Roman"/>
                <w:color w:val="000000"/>
                <w:sz w:val="26"/>
                <w:szCs w:val="26"/>
              </w:rPr>
              <w:t>61.4 (68th)</w:t>
            </w:r>
          </w:p>
        </w:tc>
        <w:tc>
          <w:tcPr>
            <w:tcW w:w="3376" w:type="dxa"/>
            <w:tcBorders>
              <w:top w:val="single" w:sz="4" w:space="0" w:color="000000"/>
              <w:left w:val="single" w:sz="4" w:space="0" w:color="000000"/>
              <w:bottom w:val="single" w:sz="4" w:space="0" w:color="000000"/>
              <w:right w:val="single" w:sz="4" w:space="0" w:color="000000"/>
            </w:tcBorders>
            <w:shd w:color="auto" w:fill="auto" w:val="clear"/>
          </w:tcPr>
          <w:p>
            <w:pPr>
              <w:pStyle w:val="Heading"/>
              <w:widowControl w:val="false"/>
              <w:spacing w:lineRule="auto" w:line="276" w:before="0" w:after="0"/>
              <w:contextualSpacing/>
              <w:jc w:val="center"/>
              <w:rPr>
                <w:rFonts w:ascii="Times New Roman" w:hAnsi="Times New Roman"/>
                <w:b w:val="false"/>
                <w:color w:val="000000"/>
                <w:sz w:val="26"/>
                <w:szCs w:val="26"/>
              </w:rPr>
            </w:pPr>
            <w:r>
              <w:rPr>
                <w:rFonts w:ascii="Times New Roman" w:hAnsi="Times New Roman"/>
                <w:b w:val="false"/>
                <w:color w:val="000000"/>
                <w:sz w:val="26"/>
                <w:szCs w:val="26"/>
              </w:rPr>
              <w:t>54.5 (93th)</w:t>
            </w:r>
          </w:p>
          <w:p>
            <w:pPr>
              <w:pStyle w:val="Normal"/>
              <w:widowControl w:val="false"/>
              <w:spacing w:before="0" w:after="0"/>
              <w:jc w:val="center"/>
              <w:rPr>
                <w:rFonts w:ascii="Times New Roman" w:hAnsi="Times New Roman"/>
                <w:color w:val="000000"/>
                <w:sz w:val="26"/>
                <w:szCs w:val="26"/>
              </w:rPr>
            </w:pPr>
            <w:r>
              <w:rPr>
                <w:rFonts w:ascii="Times New Roman" w:hAnsi="Times New Roman"/>
                <w:color w:val="000000"/>
                <w:sz w:val="26"/>
                <w:szCs w:val="26"/>
              </w:rPr>
            </w:r>
          </w:p>
        </w:tc>
      </w:tr>
      <w:tr>
        <w:trPr/>
        <w:tc>
          <w:tcPr>
            <w:tcW w:w="2469" w:type="dxa"/>
            <w:tcBorders>
              <w:top w:val="single" w:sz="4" w:space="0" w:color="000000"/>
              <w:left w:val="single" w:sz="4" w:space="0" w:color="000000"/>
              <w:bottom w:val="single" w:sz="4" w:space="0" w:color="000000"/>
            </w:tcBorders>
            <w:shd w:color="auto" w:fill="auto" w:val="clear"/>
          </w:tcPr>
          <w:p>
            <w:pPr>
              <w:pStyle w:val="Heading"/>
              <w:widowControl w:val="false"/>
              <w:spacing w:lineRule="auto" w:line="276" w:before="0" w:after="0"/>
              <w:contextualSpacing/>
              <w:rPr>
                <w:rFonts w:ascii="Times New Roman" w:hAnsi="Times New Roman"/>
                <w:b w:val="false"/>
                <w:color w:val="000000"/>
                <w:sz w:val="26"/>
                <w:szCs w:val="26"/>
              </w:rPr>
            </w:pPr>
            <w:r>
              <w:rPr>
                <w:rFonts w:ascii="Times New Roman" w:hAnsi="Times New Roman"/>
                <w:b w:val="false"/>
                <w:color w:val="000000"/>
                <w:sz w:val="26"/>
                <w:szCs w:val="26"/>
              </w:rPr>
              <w:t>LPI (World Bank)</w:t>
            </w:r>
          </w:p>
        </w:tc>
        <w:tc>
          <w:tcPr>
            <w:tcW w:w="2553"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76" w:before="0" w:after="0"/>
              <w:jc w:val="center"/>
              <w:rPr>
                <w:rFonts w:ascii="Times New Roman" w:hAnsi="Times New Roman"/>
                <w:color w:val="000000"/>
                <w:sz w:val="26"/>
                <w:szCs w:val="26"/>
              </w:rPr>
            </w:pPr>
            <w:r>
              <w:rPr>
                <w:rFonts w:ascii="Times New Roman" w:hAnsi="Times New Roman"/>
                <w:color w:val="000000"/>
                <w:sz w:val="26"/>
                <w:szCs w:val="26"/>
              </w:rPr>
              <w:t>3.14 (44th)</w:t>
            </w:r>
          </w:p>
        </w:tc>
        <w:tc>
          <w:tcPr>
            <w:tcW w:w="3376" w:type="dxa"/>
            <w:tcBorders>
              <w:top w:val="single" w:sz="4" w:space="0" w:color="000000"/>
              <w:left w:val="single" w:sz="4" w:space="0" w:color="000000"/>
              <w:bottom w:val="single" w:sz="4" w:space="0" w:color="000000"/>
              <w:right w:val="single" w:sz="4" w:space="0" w:color="000000"/>
            </w:tcBorders>
            <w:shd w:color="auto" w:fill="auto" w:val="clear"/>
          </w:tcPr>
          <w:p>
            <w:pPr>
              <w:pStyle w:val="Heading"/>
              <w:widowControl w:val="false"/>
              <w:spacing w:lineRule="auto" w:line="276" w:before="0" w:after="0"/>
              <w:contextualSpacing/>
              <w:jc w:val="center"/>
              <w:rPr>
                <w:rFonts w:ascii="Times New Roman" w:hAnsi="Times New Roman"/>
                <w:b w:val="false"/>
                <w:color w:val="000000"/>
                <w:sz w:val="26"/>
                <w:szCs w:val="26"/>
              </w:rPr>
            </w:pPr>
            <w:r>
              <w:rPr>
                <w:rFonts w:ascii="Times New Roman" w:hAnsi="Times New Roman"/>
                <w:b w:val="false"/>
                <w:color w:val="000000"/>
                <w:sz w:val="26"/>
                <w:szCs w:val="26"/>
              </w:rPr>
              <w:t>2.82 (67th)</w:t>
            </w:r>
          </w:p>
          <w:p>
            <w:pPr>
              <w:pStyle w:val="Normal"/>
              <w:widowControl w:val="false"/>
              <w:spacing w:before="0" w:after="0"/>
              <w:jc w:val="center"/>
              <w:rPr>
                <w:rFonts w:ascii="Times New Roman" w:hAnsi="Times New Roman"/>
                <w:color w:val="000000"/>
                <w:sz w:val="26"/>
                <w:szCs w:val="26"/>
              </w:rPr>
            </w:pPr>
            <w:r>
              <w:rPr>
                <w:rFonts w:ascii="Times New Roman" w:hAnsi="Times New Roman"/>
                <w:color w:val="000000"/>
                <w:sz w:val="26"/>
                <w:szCs w:val="26"/>
              </w:rPr>
            </w:r>
          </w:p>
        </w:tc>
      </w:tr>
    </w:tbl>
    <w:p>
      <w:pPr>
        <w:pStyle w:val="Normal"/>
        <w:spacing w:before="0" w:after="0"/>
        <w:ind w:left="3600" w:right="425" w:hanging="0"/>
        <w:rPr>
          <w:rFonts w:ascii="Times New Roman" w:hAnsi="Times New Roman"/>
        </w:rPr>
      </w:pPr>
      <w:r>
        <w:rPr>
          <w:rFonts w:eastAsia="Times New Roman" w:ascii="Times New Roman" w:hAnsi="Times New Roman"/>
          <w:i/>
          <w:sz w:val="26"/>
          <w:szCs w:val="26"/>
        </w:rPr>
        <w:t xml:space="preserve">      </w:t>
      </w:r>
      <w:r>
        <w:rPr>
          <w:rFonts w:ascii="Times New Roman" w:hAnsi="Times New Roman"/>
          <w:i/>
          <w:sz w:val="26"/>
          <w:szCs w:val="26"/>
        </w:rPr>
        <w:t>*Source: UNDP, WEF &amp; World Bank,2022</w:t>
      </w:r>
    </w:p>
    <w:p>
      <w:pPr>
        <w:pStyle w:val="ListParagraph"/>
        <w:numPr>
          <w:ilvl w:val="0"/>
          <w:numId w:val="15"/>
        </w:numPr>
        <w:rPr>
          <w:rFonts w:ascii="Times New Roman" w:hAnsi="Times New Roman"/>
        </w:rPr>
      </w:pPr>
      <w:r>
        <w:rPr>
          <w:rFonts w:ascii="Times New Roman" w:hAnsi="Times New Roman"/>
          <w:b/>
          <w:sz w:val="26"/>
          <w:szCs w:val="26"/>
          <w:u w:val="single"/>
          <w:lang w:val="en-GB"/>
        </w:rPr>
        <w:t>Indian Community in Egypt</w:t>
      </w:r>
    </w:p>
    <w:p>
      <w:pPr>
        <w:pStyle w:val="ListParagraph"/>
        <w:ind w:left="360" w:hanging="0"/>
        <w:rPr>
          <w:rFonts w:ascii="Times New Roman" w:hAnsi="Times New Roman"/>
          <w:b/>
          <w:bCs/>
          <w:sz w:val="26"/>
          <w:szCs w:val="26"/>
          <w:u w:val="single"/>
          <w:lang w:val="en-GB"/>
        </w:rPr>
      </w:pPr>
      <w:r>
        <w:rPr>
          <w:rFonts w:ascii="Times New Roman" w:hAnsi="Times New Roman"/>
          <w:b/>
          <w:bCs/>
          <w:sz w:val="26"/>
          <w:szCs w:val="26"/>
          <w:u w:val="single"/>
          <w:lang w:val="en-GB"/>
        </w:rPr>
      </w:r>
    </w:p>
    <w:p>
      <w:pPr>
        <w:pStyle w:val="ListParagraph"/>
        <w:ind w:left="0" w:hanging="0"/>
        <w:rPr>
          <w:rFonts w:ascii="Times New Roman" w:hAnsi="Times New Roman"/>
        </w:rPr>
      </w:pPr>
      <w:r>
        <w:rPr>
          <w:rFonts w:ascii="Times New Roman" w:hAnsi="Times New Roman"/>
          <w:bCs/>
          <w:sz w:val="26"/>
          <w:szCs w:val="26"/>
          <w:lang w:val="en-GB"/>
        </w:rPr>
        <w:t xml:space="preserve">Egypt has diaspora of only around </w:t>
      </w:r>
      <w:r>
        <w:rPr>
          <w:rFonts w:ascii="Times New Roman" w:hAnsi="Times New Roman"/>
          <w:color w:val="000000"/>
          <w:sz w:val="26"/>
          <w:szCs w:val="26"/>
        </w:rPr>
        <w:t>3600</w:t>
      </w:r>
      <w:r>
        <w:rPr>
          <w:rFonts w:ascii="Times New Roman" w:hAnsi="Times New Roman"/>
          <w:bCs/>
          <w:sz w:val="26"/>
          <w:szCs w:val="26"/>
          <w:lang w:val="en-GB"/>
        </w:rPr>
        <w:t xml:space="preserve"> Indians who are mainly employed in service sector, manufacturing and high-level management in the Multinational corporation MNCs.</w:t>
      </w:r>
    </w:p>
    <w:p>
      <w:pPr>
        <w:pStyle w:val="ListParagraph"/>
        <w:spacing w:before="0" w:after="0"/>
        <w:ind w:left="0" w:right="425" w:hanging="0"/>
        <w:contextualSpacing/>
        <w:rPr>
          <w:rFonts w:ascii="Times New Roman" w:hAnsi="Times New Roman"/>
          <w:b/>
          <w:iCs/>
          <w:sz w:val="26"/>
          <w:szCs w:val="26"/>
          <w:u w:val="single"/>
        </w:rPr>
      </w:pPr>
      <w:r>
        <w:rPr>
          <w:rFonts w:ascii="Times New Roman" w:hAnsi="Times New Roman"/>
          <w:b/>
          <w:iCs/>
          <w:sz w:val="26"/>
          <w:szCs w:val="26"/>
          <w:u w:val="single"/>
        </w:rPr>
      </w:r>
    </w:p>
    <w:p>
      <w:pPr>
        <w:pStyle w:val="ListParagraph"/>
        <w:numPr>
          <w:ilvl w:val="0"/>
          <w:numId w:val="15"/>
        </w:numPr>
        <w:spacing w:before="0" w:after="0"/>
        <w:ind w:left="360" w:right="425" w:hanging="360"/>
        <w:contextualSpacing/>
        <w:rPr>
          <w:rFonts w:ascii="Times New Roman" w:hAnsi="Times New Roman"/>
        </w:rPr>
      </w:pPr>
      <w:r>
        <w:rPr>
          <w:rFonts w:ascii="Times New Roman" w:hAnsi="Times New Roman"/>
          <w:b/>
          <w:iCs/>
          <w:sz w:val="26"/>
          <w:szCs w:val="26"/>
          <w:u w:val="single"/>
        </w:rPr>
        <w:t xml:space="preserve">Trade Profile: </w:t>
      </w:r>
    </w:p>
    <w:p>
      <w:pPr>
        <w:pStyle w:val="ListParagraph"/>
        <w:numPr>
          <w:ilvl w:val="0"/>
          <w:numId w:val="6"/>
        </w:numPr>
        <w:spacing w:lineRule="auto" w:line="360" w:before="0" w:after="0"/>
        <w:ind w:left="720" w:right="425" w:hanging="360"/>
        <w:contextualSpacing/>
        <w:rPr>
          <w:rFonts w:ascii="Times New Roman" w:hAnsi="Times New Roman"/>
        </w:rPr>
      </w:pPr>
      <w:r>
        <w:rPr>
          <w:rFonts w:ascii="Times New Roman" w:hAnsi="Times New Roman"/>
          <w:b/>
          <w:i/>
          <w:iCs/>
          <w:sz w:val="26"/>
          <w:szCs w:val="26"/>
        </w:rPr>
        <w:t xml:space="preserve">Egypt Merchandise Trade with World </w:t>
      </w:r>
      <w:r>
        <w:rPr>
          <w:rFonts w:ascii="Times New Roman" w:hAnsi="Times New Roman"/>
          <w:b/>
          <w:bCs/>
          <w:i/>
          <w:iCs/>
          <w:sz w:val="26"/>
          <w:szCs w:val="26"/>
        </w:rPr>
        <w:t>(Apr23-</w:t>
      </w:r>
      <w:r>
        <w:rPr>
          <w:rFonts w:ascii="Times New Roman" w:hAnsi="Times New Roman"/>
          <w:b/>
          <w:i/>
          <w:iCs/>
          <w:sz w:val="26"/>
          <w:szCs w:val="26"/>
          <w:lang w:val="en-GB"/>
        </w:rPr>
        <w:t xml:space="preserve"> June24</w:t>
      </w:r>
      <w:r>
        <w:rPr>
          <w:rFonts w:ascii="Times New Roman" w:hAnsi="Times New Roman"/>
          <w:b/>
          <w:bCs/>
          <w:i/>
          <w:iCs/>
          <w:sz w:val="26"/>
          <w:szCs w:val="26"/>
        </w:rPr>
        <w:t>);</w:t>
      </w:r>
      <w:r>
        <w:rPr>
          <w:rFonts w:ascii="Times New Roman" w:hAnsi="Times New Roman"/>
          <w:b/>
          <w:i/>
          <w:iCs/>
          <w:sz w:val="26"/>
          <w:szCs w:val="26"/>
        </w:rPr>
        <w:t xml:space="preserve"> </w:t>
      </w:r>
      <w:r>
        <w:rPr>
          <w:rFonts w:ascii="Times New Roman" w:hAnsi="Times New Roman"/>
          <w:sz w:val="26"/>
          <w:szCs w:val="26"/>
        </w:rPr>
        <w:t>(Data is available till March 2024 on CAPMAS)</w:t>
      </w:r>
    </w:p>
    <w:tbl>
      <w:tblPr>
        <w:tblW w:w="8323" w:type="dxa"/>
        <w:jc w:val="left"/>
        <w:tblInd w:w="699" w:type="dxa"/>
        <w:tblLayout w:type="fixed"/>
        <w:tblCellMar>
          <w:top w:w="0" w:type="dxa"/>
          <w:left w:w="108" w:type="dxa"/>
          <w:bottom w:w="0" w:type="dxa"/>
          <w:right w:w="108" w:type="dxa"/>
        </w:tblCellMar>
        <w:tblLook w:val="0000" w:noHBand="0" w:noVBand="0" w:firstColumn="0" w:lastRow="0" w:lastColumn="0" w:firstRow="0"/>
      </w:tblPr>
      <w:tblGrid>
        <w:gridCol w:w="729"/>
        <w:gridCol w:w="3062"/>
        <w:gridCol w:w="4532"/>
      </w:tblGrid>
      <w:tr>
        <w:trPr>
          <w:trHeight w:val="472" w:hRule="atLeast"/>
        </w:trPr>
        <w:tc>
          <w:tcPr>
            <w:tcW w:w="729" w:type="dxa"/>
            <w:tcBorders>
              <w:top w:val="single" w:sz="4" w:space="0" w:color="000000"/>
              <w:left w:val="single" w:sz="4" w:space="0" w:color="000000"/>
              <w:bottom w:val="single" w:sz="4" w:space="0" w:color="000000"/>
            </w:tcBorders>
            <w:shd w:color="auto" w:fill="auto" w:val="clear"/>
          </w:tcPr>
          <w:p>
            <w:pPr>
              <w:pStyle w:val="WW-ListParagraph"/>
              <w:widowControl w:val="false"/>
              <w:numPr>
                <w:ilvl w:val="0"/>
                <w:numId w:val="10"/>
              </w:numPr>
              <w:snapToGrid w:val="false"/>
              <w:spacing w:lineRule="auto" w:line="360" w:before="0" w:after="0"/>
              <w:ind w:left="720" w:right="425" w:hanging="360"/>
              <w:contextualSpacing/>
              <w:rPr>
                <w:rFonts w:ascii="Times New Roman" w:hAnsi="Times New Roman"/>
                <w:sz w:val="26"/>
                <w:szCs w:val="26"/>
              </w:rPr>
            </w:pPr>
            <w:r>
              <w:rPr>
                <w:rFonts w:ascii="Times New Roman" w:hAnsi="Times New Roman"/>
                <w:sz w:val="26"/>
                <w:szCs w:val="26"/>
              </w:rPr>
            </w:r>
          </w:p>
        </w:tc>
        <w:tc>
          <w:tcPr>
            <w:tcW w:w="3062"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360" w:before="0" w:after="160"/>
              <w:ind w:right="425" w:hanging="0"/>
              <w:rPr>
                <w:rFonts w:ascii="Times New Roman" w:hAnsi="Times New Roman"/>
              </w:rPr>
            </w:pPr>
            <w:r>
              <w:rPr>
                <w:rFonts w:ascii="Times New Roman" w:hAnsi="Times New Roman"/>
                <w:sz w:val="26"/>
                <w:szCs w:val="26"/>
              </w:rPr>
              <w:t>Exports</w:t>
            </w:r>
          </w:p>
        </w:tc>
        <w:tc>
          <w:tcPr>
            <w:tcW w:w="45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before="0" w:after="160"/>
              <w:ind w:right="425" w:hanging="0"/>
              <w:rPr>
                <w:rFonts w:ascii="Times New Roman" w:hAnsi="Times New Roman"/>
                <w:sz w:val="26"/>
                <w:szCs w:val="26"/>
              </w:rPr>
            </w:pPr>
            <w:r>
              <w:rPr>
                <w:rFonts w:ascii="Times New Roman" w:hAnsi="Times New Roman"/>
                <w:sz w:val="26"/>
                <w:szCs w:val="26"/>
              </w:rPr>
              <w:t>US $ 41.14 billion</w:t>
            </w:r>
          </w:p>
        </w:tc>
      </w:tr>
      <w:tr>
        <w:trPr/>
        <w:tc>
          <w:tcPr>
            <w:tcW w:w="729" w:type="dxa"/>
            <w:tcBorders>
              <w:top w:val="single" w:sz="4" w:space="0" w:color="000000"/>
              <w:left w:val="single" w:sz="4" w:space="0" w:color="000000"/>
              <w:bottom w:val="single" w:sz="4" w:space="0" w:color="000000"/>
            </w:tcBorders>
            <w:shd w:color="auto" w:fill="auto" w:val="clear"/>
          </w:tcPr>
          <w:p>
            <w:pPr>
              <w:pStyle w:val="WW-ListParagraph"/>
              <w:widowControl w:val="false"/>
              <w:numPr>
                <w:ilvl w:val="0"/>
                <w:numId w:val="10"/>
              </w:numPr>
              <w:snapToGrid w:val="false"/>
              <w:spacing w:lineRule="auto" w:line="360" w:before="0" w:after="0"/>
              <w:ind w:left="720" w:right="425" w:hanging="360"/>
              <w:contextualSpacing/>
              <w:rPr>
                <w:rFonts w:ascii="Times New Roman" w:hAnsi="Times New Roman"/>
                <w:b/>
                <w:i/>
                <w:i/>
                <w:sz w:val="26"/>
                <w:szCs w:val="26"/>
                <w:lang w:val="en-IN"/>
              </w:rPr>
            </w:pPr>
            <w:r>
              <w:rPr>
                <w:rFonts w:ascii="Times New Roman" w:hAnsi="Times New Roman"/>
                <w:b/>
                <w:i/>
                <w:sz w:val="26"/>
                <w:szCs w:val="26"/>
                <w:lang w:val="en-IN"/>
              </w:rPr>
            </w:r>
          </w:p>
        </w:tc>
        <w:tc>
          <w:tcPr>
            <w:tcW w:w="3062"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360" w:before="0" w:after="160"/>
              <w:ind w:right="425" w:hanging="0"/>
              <w:rPr>
                <w:rFonts w:ascii="Times New Roman" w:hAnsi="Times New Roman"/>
              </w:rPr>
            </w:pPr>
            <w:r>
              <w:rPr>
                <w:rFonts w:ascii="Times New Roman" w:hAnsi="Times New Roman"/>
                <w:sz w:val="26"/>
                <w:szCs w:val="26"/>
              </w:rPr>
              <w:t>Imports</w:t>
            </w:r>
          </w:p>
        </w:tc>
        <w:tc>
          <w:tcPr>
            <w:tcW w:w="45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before="0" w:after="160"/>
              <w:ind w:right="425" w:hanging="0"/>
              <w:rPr>
                <w:rFonts w:ascii="Times New Roman" w:hAnsi="Times New Roman"/>
                <w:sz w:val="26"/>
                <w:szCs w:val="26"/>
              </w:rPr>
            </w:pPr>
            <w:r>
              <w:rPr>
                <w:rFonts w:ascii="Times New Roman" w:hAnsi="Times New Roman"/>
                <w:sz w:val="26"/>
                <w:szCs w:val="26"/>
              </w:rPr>
              <w:t>US $ 81.56 billion</w:t>
            </w:r>
          </w:p>
        </w:tc>
      </w:tr>
      <w:tr>
        <w:trPr/>
        <w:tc>
          <w:tcPr>
            <w:tcW w:w="729" w:type="dxa"/>
            <w:tcBorders>
              <w:top w:val="single" w:sz="4" w:space="0" w:color="000000"/>
              <w:left w:val="single" w:sz="4" w:space="0" w:color="000000"/>
              <w:bottom w:val="single" w:sz="4" w:space="0" w:color="000000"/>
            </w:tcBorders>
            <w:shd w:color="auto" w:fill="auto" w:val="clear"/>
          </w:tcPr>
          <w:p>
            <w:pPr>
              <w:pStyle w:val="WW-ListParagraph"/>
              <w:widowControl w:val="false"/>
              <w:numPr>
                <w:ilvl w:val="0"/>
                <w:numId w:val="10"/>
              </w:numPr>
              <w:snapToGrid w:val="false"/>
              <w:spacing w:lineRule="auto" w:line="360" w:before="0" w:after="0"/>
              <w:ind w:left="720" w:right="425" w:hanging="360"/>
              <w:contextualSpacing/>
              <w:rPr>
                <w:rFonts w:ascii="Times New Roman" w:hAnsi="Times New Roman"/>
                <w:b/>
                <w:sz w:val="26"/>
                <w:szCs w:val="26"/>
                <w:lang w:val="en-IN"/>
              </w:rPr>
            </w:pPr>
            <w:r>
              <w:rPr>
                <w:rFonts w:ascii="Times New Roman" w:hAnsi="Times New Roman"/>
                <w:b/>
                <w:sz w:val="26"/>
                <w:szCs w:val="26"/>
                <w:lang w:val="en-IN"/>
              </w:rPr>
            </w:r>
          </w:p>
        </w:tc>
        <w:tc>
          <w:tcPr>
            <w:tcW w:w="3062"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360" w:before="0" w:after="160"/>
              <w:ind w:right="425" w:hanging="0"/>
              <w:rPr>
                <w:rFonts w:ascii="Times New Roman" w:hAnsi="Times New Roman"/>
              </w:rPr>
            </w:pPr>
            <w:r>
              <w:rPr>
                <w:rFonts w:ascii="Times New Roman" w:hAnsi="Times New Roman"/>
                <w:sz w:val="26"/>
                <w:szCs w:val="26"/>
              </w:rPr>
              <w:t>Trade</w:t>
            </w:r>
          </w:p>
        </w:tc>
        <w:tc>
          <w:tcPr>
            <w:tcW w:w="45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before="0" w:after="160"/>
              <w:ind w:right="425" w:hanging="0"/>
              <w:rPr>
                <w:rFonts w:ascii="Times New Roman" w:hAnsi="Times New Roman"/>
                <w:sz w:val="26"/>
                <w:szCs w:val="26"/>
              </w:rPr>
            </w:pPr>
            <w:r>
              <w:rPr>
                <w:rFonts w:ascii="Times New Roman" w:hAnsi="Times New Roman"/>
                <w:sz w:val="26"/>
                <w:szCs w:val="26"/>
              </w:rPr>
              <w:t>US$ 122.70 billion.</w:t>
            </w:r>
          </w:p>
        </w:tc>
      </w:tr>
      <w:tr>
        <w:trPr/>
        <w:tc>
          <w:tcPr>
            <w:tcW w:w="729" w:type="dxa"/>
            <w:tcBorders>
              <w:top w:val="single" w:sz="4" w:space="0" w:color="000000"/>
              <w:left w:val="single" w:sz="4" w:space="0" w:color="000000"/>
              <w:bottom w:val="single" w:sz="4" w:space="0" w:color="000000"/>
            </w:tcBorders>
            <w:shd w:color="auto" w:fill="auto" w:val="clear"/>
          </w:tcPr>
          <w:p>
            <w:pPr>
              <w:pStyle w:val="WW-ListParagraph"/>
              <w:widowControl w:val="false"/>
              <w:numPr>
                <w:ilvl w:val="0"/>
                <w:numId w:val="10"/>
              </w:numPr>
              <w:snapToGrid w:val="false"/>
              <w:spacing w:lineRule="auto" w:line="360" w:before="0" w:after="0"/>
              <w:ind w:left="720" w:right="425" w:hanging="360"/>
              <w:contextualSpacing/>
              <w:rPr>
                <w:rFonts w:ascii="Times New Roman" w:hAnsi="Times New Roman"/>
                <w:b/>
                <w:sz w:val="26"/>
                <w:szCs w:val="26"/>
                <w:lang w:val="en-IN"/>
              </w:rPr>
            </w:pPr>
            <w:r>
              <w:rPr>
                <w:rFonts w:ascii="Times New Roman" w:hAnsi="Times New Roman"/>
                <w:b/>
                <w:sz w:val="26"/>
                <w:szCs w:val="26"/>
                <w:lang w:val="en-IN"/>
              </w:rPr>
            </w:r>
          </w:p>
        </w:tc>
        <w:tc>
          <w:tcPr>
            <w:tcW w:w="3062"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360" w:before="0" w:after="160"/>
              <w:ind w:right="425" w:hanging="0"/>
              <w:rPr>
                <w:rFonts w:ascii="Times New Roman" w:hAnsi="Times New Roman"/>
              </w:rPr>
            </w:pPr>
            <w:r>
              <w:rPr>
                <w:rFonts w:ascii="Times New Roman" w:hAnsi="Times New Roman"/>
                <w:sz w:val="26"/>
                <w:szCs w:val="26"/>
              </w:rPr>
              <w:t>Trade/GDP Ratio</w:t>
            </w:r>
          </w:p>
        </w:tc>
        <w:tc>
          <w:tcPr>
            <w:tcW w:w="45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before="0" w:after="160"/>
              <w:ind w:right="425" w:hanging="0"/>
              <w:rPr>
                <w:rFonts w:ascii="Times New Roman" w:hAnsi="Times New Roman"/>
                <w:sz w:val="26"/>
                <w:szCs w:val="26"/>
              </w:rPr>
            </w:pPr>
            <w:r>
              <w:rPr>
                <w:rFonts w:ascii="Times New Roman" w:hAnsi="Times New Roman"/>
                <w:sz w:val="26"/>
                <w:szCs w:val="26"/>
              </w:rPr>
              <w:t>25.7 %</w:t>
            </w:r>
          </w:p>
        </w:tc>
      </w:tr>
    </w:tbl>
    <w:p>
      <w:pPr>
        <w:pStyle w:val="Normal"/>
        <w:spacing w:before="0" w:after="0"/>
        <w:ind w:right="425" w:hanging="0"/>
        <w:rPr>
          <w:rFonts w:ascii="Times New Roman" w:hAnsi="Times New Roman"/>
        </w:rPr>
      </w:pPr>
      <w:r>
        <w:rPr>
          <w:rFonts w:eastAsia="Times New Roman" w:ascii="Times New Roman" w:hAnsi="Times New Roman"/>
          <w:i/>
          <w:sz w:val="26"/>
          <w:szCs w:val="26"/>
        </w:rPr>
        <w:t xml:space="preserve">               </w:t>
      </w:r>
      <w:r>
        <w:rPr>
          <w:rFonts w:ascii="Times New Roman" w:hAnsi="Times New Roman"/>
          <w:i/>
          <w:sz w:val="26"/>
          <w:szCs w:val="26"/>
        </w:rPr>
        <w:t xml:space="preserve">*Source: Egyptian Central Agency for Public Mobilization and Statistics  </w:t>
      </w:r>
    </w:p>
    <w:p>
      <w:pPr>
        <w:pStyle w:val="Normal"/>
        <w:spacing w:before="0" w:after="0"/>
        <w:ind w:right="425" w:hanging="0"/>
        <w:rPr>
          <w:rFonts w:ascii="Times New Roman" w:hAnsi="Times New Roman"/>
        </w:rPr>
      </w:pPr>
      <w:r>
        <w:rPr>
          <w:rFonts w:eastAsia="Times New Roman" w:ascii="Times New Roman" w:hAnsi="Times New Roman"/>
          <w:i/>
          <w:sz w:val="26"/>
          <w:szCs w:val="26"/>
        </w:rPr>
        <w:t xml:space="preserve">                 </w:t>
      </w:r>
      <w:r>
        <w:rPr>
          <w:rFonts w:ascii="Times New Roman" w:hAnsi="Times New Roman"/>
          <w:i/>
          <w:sz w:val="26"/>
          <w:szCs w:val="26"/>
        </w:rPr>
        <w:t>CAPMAS</w:t>
      </w:r>
    </w:p>
    <w:p>
      <w:pPr>
        <w:pStyle w:val="ListParagraph"/>
        <w:spacing w:lineRule="auto" w:line="240" w:before="0" w:after="0"/>
        <w:ind w:left="0" w:right="425" w:hanging="0"/>
        <w:contextualSpacing/>
        <w:rPr>
          <w:rFonts w:ascii="Times New Roman" w:hAnsi="Times New Roman"/>
          <w:b/>
          <w:iCs/>
          <w:color w:val="FF0000"/>
          <w:sz w:val="26"/>
          <w:szCs w:val="26"/>
          <w:u w:val="single"/>
        </w:rPr>
      </w:pPr>
      <w:r>
        <w:rPr>
          <w:rFonts w:ascii="Times New Roman" w:hAnsi="Times New Roman"/>
          <w:b/>
          <w:iCs/>
          <w:color w:val="FF0000"/>
          <w:sz w:val="26"/>
          <w:szCs w:val="26"/>
          <w:u w:val="single"/>
        </w:rPr>
      </w:r>
    </w:p>
    <w:p>
      <w:pPr>
        <w:pStyle w:val="ListParagraph"/>
        <w:numPr>
          <w:ilvl w:val="0"/>
          <w:numId w:val="6"/>
        </w:numPr>
        <w:spacing w:lineRule="auto" w:line="360" w:before="0" w:after="0"/>
        <w:ind w:left="720" w:right="425" w:hanging="360"/>
        <w:contextualSpacing/>
        <w:rPr>
          <w:rFonts w:ascii="Times New Roman" w:hAnsi="Times New Roman"/>
        </w:rPr>
      </w:pPr>
      <w:r>
        <w:rPr>
          <w:rFonts w:ascii="Times New Roman" w:hAnsi="Times New Roman"/>
          <w:b/>
          <w:iCs/>
          <w:sz w:val="26"/>
          <w:szCs w:val="26"/>
        </w:rPr>
        <w:t xml:space="preserve">Trade dependency of Egypt of Top economies of the world </w:t>
      </w:r>
      <w:r>
        <w:rPr>
          <w:rFonts w:ascii="Times New Roman" w:hAnsi="Times New Roman"/>
          <w:b/>
          <w:i/>
          <w:iCs/>
          <w:sz w:val="26"/>
          <w:szCs w:val="26"/>
          <w:lang w:val="en-GB"/>
        </w:rPr>
        <w:t>(Apr23 – June24):</w:t>
      </w:r>
      <w:r>
        <w:rPr>
          <w:rFonts w:ascii="Times New Roman" w:hAnsi="Times New Roman"/>
          <w:sz w:val="26"/>
          <w:szCs w:val="26"/>
        </w:rPr>
        <w:t xml:space="preserve"> (Data is available till March 2024 on CAPMAS)</w:t>
      </w:r>
    </w:p>
    <w:tbl>
      <w:tblPr>
        <w:tblW w:w="8532" w:type="dxa"/>
        <w:jc w:val="left"/>
        <w:tblInd w:w="715" w:type="dxa"/>
        <w:tblLayout w:type="fixed"/>
        <w:tblCellMar>
          <w:top w:w="0" w:type="dxa"/>
          <w:left w:w="108" w:type="dxa"/>
          <w:bottom w:w="0" w:type="dxa"/>
          <w:right w:w="108" w:type="dxa"/>
        </w:tblCellMar>
        <w:tblLook w:val="0000" w:noHBand="0" w:noVBand="0" w:firstColumn="0" w:lastRow="0" w:lastColumn="0" w:firstRow="0"/>
      </w:tblPr>
      <w:tblGrid>
        <w:gridCol w:w="743"/>
        <w:gridCol w:w="1349"/>
        <w:gridCol w:w="6440"/>
      </w:tblGrid>
      <w:tr>
        <w:trPr/>
        <w:tc>
          <w:tcPr>
            <w:tcW w:w="743" w:type="dxa"/>
            <w:tcBorders>
              <w:top w:val="single" w:sz="4" w:space="0" w:color="000000"/>
              <w:left w:val="single" w:sz="4" w:space="0" w:color="000000"/>
              <w:bottom w:val="single" w:sz="4" w:space="0" w:color="000000"/>
            </w:tcBorders>
            <w:shd w:color="auto" w:fill="auto" w:val="clear"/>
          </w:tcPr>
          <w:p>
            <w:pPr>
              <w:pStyle w:val="WW-ListParagraph"/>
              <w:widowControl w:val="false"/>
              <w:numPr>
                <w:ilvl w:val="0"/>
                <w:numId w:val="8"/>
              </w:numPr>
              <w:snapToGrid w:val="false"/>
              <w:spacing w:lineRule="auto" w:line="360" w:before="0" w:after="0"/>
              <w:ind w:left="720" w:right="425" w:hanging="360"/>
              <w:contextualSpacing/>
              <w:rPr>
                <w:rFonts w:ascii="Times New Roman" w:hAnsi="Times New Roman"/>
                <w:sz w:val="26"/>
                <w:szCs w:val="26"/>
              </w:rPr>
            </w:pPr>
            <w:r>
              <w:rPr>
                <w:rFonts w:ascii="Times New Roman" w:hAnsi="Times New Roman"/>
                <w:sz w:val="26"/>
                <w:szCs w:val="26"/>
              </w:rPr>
            </w:r>
          </w:p>
        </w:tc>
        <w:tc>
          <w:tcPr>
            <w:tcW w:w="1349"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rPr>
                <w:rFonts w:ascii="Times New Roman" w:hAnsi="Times New Roman"/>
                <w:szCs w:val="24"/>
                <w:lang w:val="en-GB"/>
              </w:rPr>
            </w:pPr>
            <w:r>
              <w:rPr>
                <w:rFonts w:ascii="Times New Roman" w:hAnsi="Times New Roman"/>
                <w:szCs w:val="24"/>
                <w:lang w:val="en-GB"/>
              </w:rPr>
              <w:t>China</w:t>
            </w:r>
          </w:p>
        </w:tc>
        <w:tc>
          <w:tcPr>
            <w:tcW w:w="6440"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pacing w:before="0" w:after="200"/>
              <w:ind w:right="425" w:hanging="0"/>
              <w:contextualSpacing/>
              <w:jc w:val="left"/>
              <w:rPr>
                <w:rFonts w:ascii="Times New Roman" w:hAnsi="Times New Roman" w:eastAsia="Calibri" w:cs="Times New Roman"/>
                <w:szCs w:val="24"/>
                <w:lang w:val="en-GB"/>
              </w:rPr>
            </w:pPr>
            <w:r>
              <w:rPr>
                <w:rFonts w:eastAsia="Calibri" w:cs="Times New Roman" w:ascii="Times New Roman" w:hAnsi="Times New Roman"/>
                <w:szCs w:val="24"/>
                <w:lang w:val="en-GB"/>
              </w:rPr>
              <w:t>US$ 12.50 billion (15.27 % of total imports)</w:t>
            </w:r>
          </w:p>
        </w:tc>
      </w:tr>
      <w:tr>
        <w:trPr/>
        <w:tc>
          <w:tcPr>
            <w:tcW w:w="743" w:type="dxa"/>
            <w:tcBorders>
              <w:top w:val="single" w:sz="4" w:space="0" w:color="000000"/>
              <w:left w:val="single" w:sz="4" w:space="0" w:color="000000"/>
              <w:bottom w:val="single" w:sz="4" w:space="0" w:color="000000"/>
            </w:tcBorders>
            <w:shd w:color="auto" w:fill="auto" w:val="clear"/>
          </w:tcPr>
          <w:p>
            <w:pPr>
              <w:pStyle w:val="WW-ListParagraph"/>
              <w:widowControl w:val="false"/>
              <w:numPr>
                <w:ilvl w:val="0"/>
                <w:numId w:val="8"/>
              </w:numPr>
              <w:snapToGrid w:val="false"/>
              <w:spacing w:lineRule="auto" w:line="360" w:before="0" w:after="0"/>
              <w:ind w:left="720" w:right="425" w:hanging="360"/>
              <w:contextualSpacing/>
              <w:rPr>
                <w:rFonts w:ascii="Times New Roman" w:hAnsi="Times New Roman"/>
                <w:b/>
                <w:sz w:val="26"/>
                <w:szCs w:val="26"/>
                <w:lang w:val="en-IN"/>
              </w:rPr>
            </w:pPr>
            <w:r>
              <w:rPr>
                <w:rFonts w:ascii="Times New Roman" w:hAnsi="Times New Roman"/>
                <w:b/>
                <w:sz w:val="26"/>
                <w:szCs w:val="26"/>
                <w:lang w:val="en-IN"/>
              </w:rPr>
            </w:r>
          </w:p>
        </w:tc>
        <w:tc>
          <w:tcPr>
            <w:tcW w:w="1349"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rPr>
                <w:rFonts w:ascii="Times New Roman" w:hAnsi="Times New Roman"/>
                <w:szCs w:val="24"/>
                <w:lang w:val="en-GB"/>
              </w:rPr>
            </w:pPr>
            <w:r>
              <w:rPr>
                <w:rFonts w:ascii="Times New Roman" w:hAnsi="Times New Roman"/>
                <w:szCs w:val="24"/>
                <w:lang w:val="en-GB"/>
              </w:rPr>
              <w:t>KSA</w:t>
            </w:r>
          </w:p>
        </w:tc>
        <w:tc>
          <w:tcPr>
            <w:tcW w:w="64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rPr>
                <w:rFonts w:ascii="Times New Roman" w:hAnsi="Times New Roman"/>
                <w:szCs w:val="24"/>
                <w:lang w:val="en-GB"/>
              </w:rPr>
            </w:pPr>
            <w:r>
              <w:rPr>
                <w:rFonts w:ascii="Times New Roman" w:hAnsi="Times New Roman"/>
                <w:szCs w:val="24"/>
                <w:lang w:val="en-GB"/>
              </w:rPr>
              <w:t>US$ 5.50 billion (6.72 % of total imports)</w:t>
            </w:r>
          </w:p>
        </w:tc>
      </w:tr>
      <w:tr>
        <w:trPr/>
        <w:tc>
          <w:tcPr>
            <w:tcW w:w="743" w:type="dxa"/>
            <w:tcBorders>
              <w:top w:val="single" w:sz="4" w:space="0" w:color="000000"/>
              <w:left w:val="single" w:sz="4" w:space="0" w:color="000000"/>
              <w:bottom w:val="single" w:sz="4" w:space="0" w:color="000000"/>
            </w:tcBorders>
            <w:shd w:color="auto" w:fill="auto" w:val="clear"/>
          </w:tcPr>
          <w:p>
            <w:pPr>
              <w:pStyle w:val="WW-ListParagraph"/>
              <w:widowControl w:val="false"/>
              <w:numPr>
                <w:ilvl w:val="0"/>
                <w:numId w:val="8"/>
              </w:numPr>
              <w:snapToGrid w:val="false"/>
              <w:spacing w:lineRule="auto" w:line="360" w:before="0" w:after="0"/>
              <w:ind w:left="720" w:right="425" w:hanging="360"/>
              <w:contextualSpacing/>
              <w:rPr>
                <w:rFonts w:ascii="Times New Roman" w:hAnsi="Times New Roman"/>
                <w:b/>
                <w:sz w:val="26"/>
                <w:szCs w:val="26"/>
                <w:lang w:val="en-IN"/>
              </w:rPr>
            </w:pPr>
            <w:r>
              <w:rPr>
                <w:rFonts w:ascii="Times New Roman" w:hAnsi="Times New Roman"/>
                <w:b/>
                <w:sz w:val="26"/>
                <w:szCs w:val="26"/>
                <w:lang w:val="en-IN"/>
              </w:rPr>
            </w:r>
          </w:p>
        </w:tc>
        <w:tc>
          <w:tcPr>
            <w:tcW w:w="1349"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rPr>
                <w:rFonts w:ascii="Times New Roman" w:hAnsi="Times New Roman"/>
                <w:szCs w:val="24"/>
                <w:lang w:val="en-GB"/>
              </w:rPr>
            </w:pPr>
            <w:r>
              <w:rPr>
                <w:rFonts w:ascii="Times New Roman" w:hAnsi="Times New Roman"/>
                <w:szCs w:val="24"/>
                <w:lang w:val="en-GB"/>
              </w:rPr>
              <w:t>USA</w:t>
            </w:r>
          </w:p>
        </w:tc>
        <w:tc>
          <w:tcPr>
            <w:tcW w:w="64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rPr>
                <w:rFonts w:ascii="Times New Roman" w:hAnsi="Times New Roman"/>
                <w:szCs w:val="24"/>
                <w:lang w:val="en-GB"/>
              </w:rPr>
            </w:pPr>
            <w:r>
              <w:rPr>
                <w:rFonts w:ascii="Times New Roman" w:hAnsi="Times New Roman"/>
                <w:szCs w:val="24"/>
                <w:lang w:val="en-GB"/>
              </w:rPr>
              <w:t>US$ 5.20 billion (6.35 % of total imports)</w:t>
            </w:r>
          </w:p>
        </w:tc>
      </w:tr>
      <w:tr>
        <w:trPr/>
        <w:tc>
          <w:tcPr>
            <w:tcW w:w="743" w:type="dxa"/>
            <w:tcBorders>
              <w:top w:val="single" w:sz="4" w:space="0" w:color="000000"/>
              <w:left w:val="single" w:sz="4" w:space="0" w:color="000000"/>
              <w:bottom w:val="single" w:sz="4" w:space="0" w:color="000000"/>
            </w:tcBorders>
            <w:shd w:color="auto" w:fill="auto" w:val="clear"/>
          </w:tcPr>
          <w:p>
            <w:pPr>
              <w:pStyle w:val="WW-ListParagraph"/>
              <w:widowControl w:val="false"/>
              <w:numPr>
                <w:ilvl w:val="0"/>
                <w:numId w:val="8"/>
              </w:numPr>
              <w:snapToGrid w:val="false"/>
              <w:spacing w:lineRule="auto" w:line="360" w:before="0" w:after="0"/>
              <w:ind w:left="720" w:right="425" w:hanging="360"/>
              <w:contextualSpacing/>
              <w:rPr>
                <w:rFonts w:ascii="Times New Roman" w:hAnsi="Times New Roman"/>
                <w:b/>
                <w:sz w:val="26"/>
                <w:szCs w:val="26"/>
                <w:lang w:val="en-IN"/>
              </w:rPr>
            </w:pPr>
            <w:r>
              <w:rPr>
                <w:rFonts w:ascii="Times New Roman" w:hAnsi="Times New Roman"/>
                <w:b/>
                <w:sz w:val="26"/>
                <w:szCs w:val="26"/>
                <w:lang w:val="en-IN"/>
              </w:rPr>
            </w:r>
          </w:p>
        </w:tc>
        <w:tc>
          <w:tcPr>
            <w:tcW w:w="1349"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rPr>
                <w:rFonts w:ascii="Times New Roman" w:hAnsi="Times New Roman"/>
                <w:szCs w:val="24"/>
                <w:lang w:val="en-GB"/>
              </w:rPr>
            </w:pPr>
            <w:r>
              <w:rPr>
                <w:rFonts w:ascii="Times New Roman" w:hAnsi="Times New Roman"/>
                <w:szCs w:val="24"/>
                <w:lang w:val="en-GB"/>
              </w:rPr>
              <w:t>Russia</w:t>
            </w:r>
          </w:p>
        </w:tc>
        <w:tc>
          <w:tcPr>
            <w:tcW w:w="64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rPr>
                <w:rFonts w:ascii="Times New Roman" w:hAnsi="Times New Roman"/>
                <w:szCs w:val="24"/>
                <w:lang w:val="en-GB"/>
              </w:rPr>
            </w:pPr>
            <w:r>
              <w:rPr>
                <w:rFonts w:ascii="Times New Roman" w:hAnsi="Times New Roman"/>
                <w:szCs w:val="24"/>
                <w:lang w:val="en-GB"/>
              </w:rPr>
              <w:t>US$ 4.80 billion (5.87 % of total imports)</w:t>
            </w:r>
          </w:p>
        </w:tc>
      </w:tr>
      <w:tr>
        <w:trPr/>
        <w:tc>
          <w:tcPr>
            <w:tcW w:w="743" w:type="dxa"/>
            <w:tcBorders>
              <w:top w:val="single" w:sz="4" w:space="0" w:color="000000"/>
              <w:left w:val="single" w:sz="4" w:space="0" w:color="000000"/>
              <w:bottom w:val="single" w:sz="4" w:space="0" w:color="000000"/>
            </w:tcBorders>
            <w:shd w:color="auto" w:fill="auto" w:val="clear"/>
          </w:tcPr>
          <w:p>
            <w:pPr>
              <w:pStyle w:val="WW-ListParagraph"/>
              <w:widowControl w:val="false"/>
              <w:numPr>
                <w:ilvl w:val="0"/>
                <w:numId w:val="8"/>
              </w:numPr>
              <w:snapToGrid w:val="false"/>
              <w:spacing w:lineRule="auto" w:line="360" w:before="0" w:after="0"/>
              <w:ind w:left="720" w:right="425" w:hanging="360"/>
              <w:contextualSpacing/>
              <w:rPr>
                <w:rFonts w:ascii="Times New Roman" w:hAnsi="Times New Roman"/>
                <w:b/>
                <w:sz w:val="26"/>
                <w:szCs w:val="26"/>
                <w:lang w:val="en-IN"/>
              </w:rPr>
            </w:pPr>
            <w:r>
              <w:rPr>
                <w:rFonts w:ascii="Times New Roman" w:hAnsi="Times New Roman"/>
                <w:b/>
                <w:sz w:val="26"/>
                <w:szCs w:val="26"/>
                <w:lang w:val="en-IN"/>
              </w:rPr>
            </w:r>
          </w:p>
        </w:tc>
        <w:tc>
          <w:tcPr>
            <w:tcW w:w="1349"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rPr>
                <w:rFonts w:ascii="Times New Roman" w:hAnsi="Times New Roman"/>
                <w:szCs w:val="24"/>
                <w:lang w:val="en-GB"/>
              </w:rPr>
            </w:pPr>
            <w:r>
              <w:rPr>
                <w:rFonts w:ascii="Times New Roman" w:hAnsi="Times New Roman"/>
                <w:szCs w:val="24"/>
                <w:lang w:val="en-GB"/>
              </w:rPr>
              <w:t>Germany</w:t>
            </w:r>
          </w:p>
        </w:tc>
        <w:tc>
          <w:tcPr>
            <w:tcW w:w="64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rPr>
                <w:rFonts w:ascii="Times New Roman" w:hAnsi="Times New Roman"/>
                <w:szCs w:val="24"/>
                <w:lang w:val="en-GB"/>
              </w:rPr>
            </w:pPr>
            <w:r>
              <w:rPr>
                <w:rFonts w:ascii="Times New Roman" w:hAnsi="Times New Roman"/>
                <w:szCs w:val="24"/>
                <w:lang w:val="en-GB"/>
              </w:rPr>
              <w:t>US$ 4.10 billion (4.96 % of total imports)</w:t>
            </w:r>
          </w:p>
        </w:tc>
      </w:tr>
      <w:tr>
        <w:trPr/>
        <w:tc>
          <w:tcPr>
            <w:tcW w:w="743" w:type="dxa"/>
            <w:tcBorders>
              <w:top w:val="single" w:sz="4" w:space="0" w:color="000000"/>
              <w:left w:val="single" w:sz="4" w:space="0" w:color="000000"/>
              <w:bottom w:val="single" w:sz="4" w:space="0" w:color="000000"/>
            </w:tcBorders>
            <w:shd w:color="auto" w:fill="auto" w:val="clear"/>
          </w:tcPr>
          <w:p>
            <w:pPr>
              <w:pStyle w:val="WW-ListParagraph"/>
              <w:widowControl w:val="false"/>
              <w:numPr>
                <w:ilvl w:val="0"/>
                <w:numId w:val="8"/>
              </w:numPr>
              <w:snapToGrid w:val="false"/>
              <w:spacing w:lineRule="auto" w:line="360" w:before="0" w:after="0"/>
              <w:ind w:left="720" w:right="425" w:hanging="360"/>
              <w:contextualSpacing/>
              <w:rPr>
                <w:rFonts w:ascii="Times New Roman" w:hAnsi="Times New Roman"/>
                <w:b/>
                <w:sz w:val="26"/>
                <w:szCs w:val="26"/>
                <w:lang w:val="en-IN"/>
              </w:rPr>
            </w:pPr>
            <w:r>
              <w:rPr>
                <w:rFonts w:ascii="Times New Roman" w:hAnsi="Times New Roman"/>
                <w:b/>
                <w:sz w:val="26"/>
                <w:szCs w:val="26"/>
                <w:lang w:val="en-IN"/>
              </w:rPr>
            </w:r>
          </w:p>
        </w:tc>
        <w:tc>
          <w:tcPr>
            <w:tcW w:w="1349"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rPr>
                <w:rFonts w:ascii="Times New Roman" w:hAnsi="Times New Roman"/>
                <w:szCs w:val="24"/>
                <w:lang w:val="en-GB"/>
              </w:rPr>
            </w:pPr>
            <w:r>
              <w:rPr>
                <w:rFonts w:ascii="Times New Roman" w:hAnsi="Times New Roman"/>
                <w:szCs w:val="24"/>
                <w:lang w:val="en-GB"/>
              </w:rPr>
              <w:t>Italy</w:t>
            </w:r>
          </w:p>
        </w:tc>
        <w:tc>
          <w:tcPr>
            <w:tcW w:w="64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rPr>
                <w:rFonts w:ascii="Times New Roman" w:hAnsi="Times New Roman"/>
                <w:szCs w:val="24"/>
                <w:lang w:val="en-GB"/>
              </w:rPr>
            </w:pPr>
            <w:r>
              <w:rPr>
                <w:rFonts w:ascii="Times New Roman" w:hAnsi="Times New Roman"/>
                <w:szCs w:val="24"/>
                <w:lang w:val="en-GB"/>
              </w:rPr>
              <w:t>US$ 3.20 billion (3.93 % of total imports)</w:t>
            </w:r>
          </w:p>
        </w:tc>
      </w:tr>
      <w:tr>
        <w:trPr/>
        <w:tc>
          <w:tcPr>
            <w:tcW w:w="743" w:type="dxa"/>
            <w:tcBorders>
              <w:top w:val="single" w:sz="4" w:space="0" w:color="000000"/>
              <w:left w:val="single" w:sz="4" w:space="0" w:color="000000"/>
              <w:bottom w:val="single" w:sz="4" w:space="0" w:color="000000"/>
            </w:tcBorders>
            <w:shd w:color="auto" w:fill="auto" w:val="clear"/>
          </w:tcPr>
          <w:p>
            <w:pPr>
              <w:pStyle w:val="WW-ListParagraph"/>
              <w:widowControl w:val="false"/>
              <w:numPr>
                <w:ilvl w:val="0"/>
                <w:numId w:val="8"/>
              </w:numPr>
              <w:snapToGrid w:val="false"/>
              <w:spacing w:lineRule="auto" w:line="360" w:before="0" w:after="0"/>
              <w:ind w:left="720" w:right="425" w:hanging="360"/>
              <w:contextualSpacing/>
              <w:rPr>
                <w:rFonts w:ascii="Times New Roman" w:hAnsi="Times New Roman"/>
                <w:b/>
                <w:sz w:val="26"/>
                <w:szCs w:val="26"/>
                <w:lang w:val="en-IN"/>
              </w:rPr>
            </w:pPr>
            <w:r>
              <w:rPr>
                <w:rFonts w:ascii="Times New Roman" w:hAnsi="Times New Roman"/>
                <w:b/>
                <w:sz w:val="26"/>
                <w:szCs w:val="26"/>
                <w:lang w:val="en-IN"/>
              </w:rPr>
            </w:r>
          </w:p>
        </w:tc>
        <w:tc>
          <w:tcPr>
            <w:tcW w:w="1349"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rPr>
                <w:rFonts w:ascii="Times New Roman" w:hAnsi="Times New Roman"/>
                <w:szCs w:val="24"/>
                <w:lang w:val="en-IN"/>
              </w:rPr>
            </w:pPr>
            <w:r>
              <w:rPr>
                <w:rFonts w:ascii="Times New Roman" w:hAnsi="Times New Roman"/>
                <w:szCs w:val="24"/>
                <w:lang w:val="en-GB"/>
              </w:rPr>
              <w:t xml:space="preserve">India         </w:t>
            </w:r>
          </w:p>
        </w:tc>
        <w:tc>
          <w:tcPr>
            <w:tcW w:w="64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rPr>
                <w:rFonts w:ascii="Times New Roman" w:hAnsi="Times New Roman"/>
                <w:szCs w:val="24"/>
                <w:lang w:val="en-GB"/>
              </w:rPr>
            </w:pPr>
            <w:r>
              <w:rPr>
                <w:rFonts w:ascii="Times New Roman" w:hAnsi="Times New Roman"/>
                <w:szCs w:val="24"/>
                <w:lang w:val="en-GB"/>
              </w:rPr>
              <w:t>US$ 2.90 billion (3.54 % of total imports)</w:t>
            </w:r>
          </w:p>
        </w:tc>
      </w:tr>
    </w:tbl>
    <w:p>
      <w:pPr>
        <w:pStyle w:val="Normal"/>
        <w:spacing w:before="0" w:after="0"/>
        <w:ind w:right="425" w:hanging="0"/>
        <w:jc w:val="right"/>
        <w:rPr>
          <w:rFonts w:ascii="Times New Roman" w:hAnsi="Times New Roman"/>
          <w:i/>
          <w:i/>
          <w:sz w:val="26"/>
          <w:szCs w:val="26"/>
          <w:lang w:val="en-IN"/>
        </w:rPr>
      </w:pPr>
      <w:r>
        <w:rPr>
          <w:rFonts w:eastAsia="Times New Roman" w:ascii="Times New Roman" w:hAnsi="Times New Roman"/>
          <w:i/>
          <w:sz w:val="26"/>
          <w:szCs w:val="26"/>
          <w:lang w:val="en-IN"/>
        </w:rPr>
        <w:t xml:space="preserve">                                            </w:t>
      </w:r>
      <w:r>
        <w:rPr>
          <w:rFonts w:ascii="Times New Roman" w:hAnsi="Times New Roman"/>
          <w:i/>
          <w:sz w:val="26"/>
          <w:szCs w:val="26"/>
          <w:lang w:val="en-IN"/>
        </w:rPr>
        <w:tab/>
        <w:tab/>
        <w:tab/>
      </w:r>
    </w:p>
    <w:p>
      <w:pPr>
        <w:pStyle w:val="Normal"/>
        <w:spacing w:before="0" w:after="0"/>
        <w:ind w:right="425" w:hanging="0"/>
        <w:jc w:val="right"/>
        <w:rPr>
          <w:rFonts w:ascii="Times New Roman" w:hAnsi="Times New Roman"/>
          <w:i/>
          <w:i/>
          <w:sz w:val="26"/>
          <w:szCs w:val="26"/>
        </w:rPr>
      </w:pPr>
      <w:r>
        <w:rPr>
          <w:rFonts w:ascii="Times New Roman" w:hAnsi="Times New Roman"/>
          <w:i/>
          <w:sz w:val="26"/>
          <w:szCs w:val="26"/>
          <w:lang w:val="en-IN"/>
        </w:rPr>
        <w:tab/>
        <w:tab/>
        <w:t xml:space="preserve">            </w:t>
      </w:r>
      <w:r>
        <w:rPr>
          <w:rFonts w:ascii="Times New Roman" w:hAnsi="Times New Roman"/>
          <w:i/>
          <w:sz w:val="26"/>
          <w:szCs w:val="26"/>
        </w:rPr>
        <w:t>*Source: CAPMAS</w:t>
      </w:r>
    </w:p>
    <w:p>
      <w:pPr>
        <w:pStyle w:val="Normal"/>
        <w:spacing w:before="0" w:after="0"/>
        <w:ind w:right="425" w:hanging="0"/>
        <w:jc w:val="right"/>
        <w:rPr>
          <w:rFonts w:ascii="Times New Roman" w:hAnsi="Times New Roman"/>
          <w:i/>
          <w:i/>
          <w:sz w:val="26"/>
          <w:szCs w:val="26"/>
        </w:rPr>
      </w:pPr>
      <w:r>
        <w:rPr>
          <w:rFonts w:ascii="Times New Roman" w:hAnsi="Times New Roman"/>
          <w:i/>
          <w:sz w:val="26"/>
          <w:szCs w:val="26"/>
        </w:rPr>
      </w:r>
    </w:p>
    <w:p>
      <w:pPr>
        <w:pStyle w:val="Normal"/>
        <w:spacing w:before="0" w:after="0"/>
        <w:ind w:right="425" w:hanging="0"/>
        <w:jc w:val="right"/>
        <w:rPr>
          <w:rFonts w:ascii="Times New Roman" w:hAnsi="Times New Roman"/>
        </w:rPr>
      </w:pPr>
      <w:r>
        <w:rPr>
          <w:rFonts w:ascii="Times New Roman" w:hAnsi="Times New Roman"/>
        </w:rPr>
      </w:r>
    </w:p>
    <w:p>
      <w:pPr>
        <w:pStyle w:val="ListParagraph"/>
        <w:numPr>
          <w:ilvl w:val="0"/>
          <w:numId w:val="6"/>
        </w:numPr>
        <w:spacing w:lineRule="auto" w:line="360" w:before="0" w:after="0"/>
        <w:ind w:left="720" w:right="425" w:hanging="360"/>
        <w:contextualSpacing/>
        <w:rPr>
          <w:rFonts w:ascii="Times New Roman" w:hAnsi="Times New Roman"/>
        </w:rPr>
      </w:pPr>
      <w:r>
        <w:rPr>
          <w:rFonts w:ascii="Times New Roman" w:hAnsi="Times New Roman"/>
          <w:b/>
          <w:sz w:val="26"/>
          <w:szCs w:val="26"/>
        </w:rPr>
        <w:t>Egypt</w:t>
      </w:r>
      <w:r>
        <w:rPr>
          <w:rFonts w:ascii="Times New Roman" w:hAnsi="Times New Roman"/>
          <w:sz w:val="26"/>
          <w:szCs w:val="26"/>
        </w:rPr>
        <w:t xml:space="preserve"> </w:t>
      </w:r>
      <w:r>
        <w:rPr>
          <w:rFonts w:ascii="Times New Roman" w:hAnsi="Times New Roman"/>
          <w:b/>
          <w:iCs/>
          <w:sz w:val="26"/>
          <w:szCs w:val="26"/>
        </w:rPr>
        <w:t xml:space="preserve">Top Export Destinations </w:t>
      </w:r>
      <w:r>
        <w:rPr>
          <w:rFonts w:ascii="Times New Roman" w:hAnsi="Times New Roman"/>
          <w:b/>
          <w:i/>
          <w:iCs/>
          <w:sz w:val="26"/>
          <w:szCs w:val="26"/>
          <w:lang w:val="en-GB"/>
        </w:rPr>
        <w:t>(Apr 23 - June24):</w:t>
      </w:r>
      <w:r>
        <w:rPr>
          <w:rFonts w:ascii="Times New Roman" w:hAnsi="Times New Roman"/>
          <w:sz w:val="26"/>
          <w:szCs w:val="26"/>
        </w:rPr>
        <w:t xml:space="preserve"> (Data is available till March 2024 on CAPMAS)</w:t>
      </w:r>
    </w:p>
    <w:tbl>
      <w:tblPr>
        <w:tblpPr w:bottomFromText="0" w:horzAnchor="margin" w:leftFromText="180" w:rightFromText="180" w:tblpX="0" w:tblpXSpec="right" w:tblpY="81" w:topFromText="0" w:vertAnchor="text"/>
        <w:tblW w:w="8532" w:type="dxa"/>
        <w:jc w:val="right"/>
        <w:tblInd w:w="0" w:type="dxa"/>
        <w:tblLayout w:type="fixed"/>
        <w:tblCellMar>
          <w:top w:w="0" w:type="dxa"/>
          <w:left w:w="108" w:type="dxa"/>
          <w:bottom w:w="0" w:type="dxa"/>
          <w:right w:w="108" w:type="dxa"/>
        </w:tblCellMar>
        <w:tblLook w:val="0000" w:noHBand="0" w:noVBand="0" w:firstColumn="0" w:lastRow="0" w:lastColumn="0" w:firstRow="0"/>
      </w:tblPr>
      <w:tblGrid>
        <w:gridCol w:w="557"/>
        <w:gridCol w:w="1349"/>
        <w:gridCol w:w="6626"/>
      </w:tblGrid>
      <w:tr>
        <w:trPr/>
        <w:tc>
          <w:tcPr>
            <w:tcW w:w="557"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jc w:val="both"/>
              <w:rPr/>
            </w:pPr>
            <w:r>
              <w:rPr/>
              <w:t>1.</w:t>
            </w:r>
          </w:p>
        </w:tc>
        <w:tc>
          <w:tcPr>
            <w:tcW w:w="1349"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rPr/>
            </w:pPr>
            <w:r>
              <w:rPr>
                <w:rFonts w:ascii="Times New Roman" w:hAnsi="Times New Roman"/>
                <w:szCs w:val="24"/>
                <w:lang w:val="en-GB"/>
              </w:rPr>
              <w:t>Turkey</w:t>
            </w:r>
          </w:p>
        </w:tc>
        <w:tc>
          <w:tcPr>
            <w:tcW w:w="662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rPr>
                <w:rFonts w:ascii="Times New Roman" w:hAnsi="Times New Roman"/>
                <w:szCs w:val="24"/>
                <w:lang w:val="en-GB"/>
              </w:rPr>
            </w:pPr>
            <w:r>
              <w:rPr>
                <w:rFonts w:ascii="Times New Roman" w:hAnsi="Times New Roman"/>
                <w:szCs w:val="24"/>
                <w:lang w:val="en-GB"/>
              </w:rPr>
              <w:t>US$ 3.14 billion (7.63 % of total exports)</w:t>
            </w:r>
          </w:p>
        </w:tc>
      </w:tr>
      <w:tr>
        <w:trPr/>
        <w:tc>
          <w:tcPr>
            <w:tcW w:w="557"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jc w:val="both"/>
              <w:rPr/>
            </w:pPr>
            <w:r>
              <w:rPr/>
              <w:t>2.</w:t>
            </w:r>
          </w:p>
        </w:tc>
        <w:tc>
          <w:tcPr>
            <w:tcW w:w="1349"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rPr/>
            </w:pPr>
            <w:r>
              <w:rPr>
                <w:rFonts w:ascii="Times New Roman" w:hAnsi="Times New Roman"/>
                <w:szCs w:val="24"/>
                <w:lang w:val="en-GB"/>
              </w:rPr>
              <w:t>Italy</w:t>
            </w:r>
          </w:p>
        </w:tc>
        <w:tc>
          <w:tcPr>
            <w:tcW w:w="662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rPr>
                <w:rFonts w:ascii="Times New Roman" w:hAnsi="Times New Roman"/>
                <w:szCs w:val="24"/>
                <w:lang w:val="en-GB"/>
              </w:rPr>
            </w:pPr>
            <w:r>
              <w:rPr>
                <w:rFonts w:ascii="Times New Roman" w:hAnsi="Times New Roman"/>
                <w:szCs w:val="24"/>
                <w:lang w:val="en-GB"/>
              </w:rPr>
              <w:t>US$ 3.10 billion (7.5 % of total exports)</w:t>
            </w:r>
          </w:p>
        </w:tc>
      </w:tr>
      <w:tr>
        <w:trPr/>
        <w:tc>
          <w:tcPr>
            <w:tcW w:w="557"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jc w:val="both"/>
              <w:rPr/>
            </w:pPr>
            <w:r>
              <w:rPr/>
              <w:t>3.</w:t>
            </w:r>
          </w:p>
        </w:tc>
        <w:tc>
          <w:tcPr>
            <w:tcW w:w="1349"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rPr/>
            </w:pPr>
            <w:r>
              <w:rPr>
                <w:rFonts w:ascii="Times New Roman" w:hAnsi="Times New Roman"/>
                <w:szCs w:val="24"/>
                <w:lang w:val="en-GB"/>
              </w:rPr>
              <w:t>KSA</w:t>
            </w:r>
          </w:p>
        </w:tc>
        <w:tc>
          <w:tcPr>
            <w:tcW w:w="662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rPr>
                <w:rFonts w:ascii="Times New Roman" w:hAnsi="Times New Roman"/>
                <w:szCs w:val="24"/>
                <w:lang w:val="en-GB"/>
              </w:rPr>
            </w:pPr>
            <w:r>
              <w:rPr>
                <w:rFonts w:ascii="Times New Roman" w:hAnsi="Times New Roman"/>
                <w:szCs w:val="24"/>
                <w:lang w:val="en-GB"/>
              </w:rPr>
              <w:t>US$ 2.90 billion (7.07 % of total exports)</w:t>
            </w:r>
          </w:p>
        </w:tc>
      </w:tr>
      <w:tr>
        <w:trPr/>
        <w:tc>
          <w:tcPr>
            <w:tcW w:w="557"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jc w:val="both"/>
              <w:rPr/>
            </w:pPr>
            <w:r>
              <w:rPr/>
              <w:t>4.</w:t>
            </w:r>
          </w:p>
        </w:tc>
        <w:tc>
          <w:tcPr>
            <w:tcW w:w="1349"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rPr/>
            </w:pPr>
            <w:r>
              <w:rPr>
                <w:rFonts w:ascii="Times New Roman" w:hAnsi="Times New Roman"/>
                <w:szCs w:val="24"/>
                <w:lang w:val="en-GB"/>
              </w:rPr>
              <w:t xml:space="preserve">UAE         </w:t>
            </w:r>
          </w:p>
        </w:tc>
        <w:tc>
          <w:tcPr>
            <w:tcW w:w="662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rPr>
                <w:rFonts w:ascii="Times New Roman" w:hAnsi="Times New Roman"/>
                <w:szCs w:val="24"/>
                <w:lang w:val="en-GB"/>
              </w:rPr>
            </w:pPr>
            <w:r>
              <w:rPr>
                <w:rFonts w:ascii="Times New Roman" w:hAnsi="Times New Roman"/>
                <w:szCs w:val="24"/>
                <w:lang w:val="en-GB"/>
              </w:rPr>
              <w:t>US$ 2.20 billion (5.37 % of total exports)</w:t>
            </w:r>
          </w:p>
        </w:tc>
      </w:tr>
      <w:tr>
        <w:trPr/>
        <w:tc>
          <w:tcPr>
            <w:tcW w:w="557"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jc w:val="both"/>
              <w:rPr/>
            </w:pPr>
            <w:r>
              <w:rPr/>
              <w:t>5.</w:t>
            </w:r>
          </w:p>
        </w:tc>
        <w:tc>
          <w:tcPr>
            <w:tcW w:w="1349"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rPr>
                <w:rFonts w:ascii="Times New Roman" w:hAnsi="Times New Roman"/>
                <w:szCs w:val="24"/>
                <w:lang w:val="en-GB"/>
              </w:rPr>
            </w:pPr>
            <w:r>
              <w:rPr>
                <w:rFonts w:ascii="Times New Roman" w:hAnsi="Times New Roman"/>
                <w:szCs w:val="24"/>
                <w:lang w:val="en-GB"/>
              </w:rPr>
              <w:t>USA</w:t>
            </w:r>
          </w:p>
        </w:tc>
        <w:tc>
          <w:tcPr>
            <w:tcW w:w="662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rPr>
                <w:rFonts w:ascii="Times New Roman" w:hAnsi="Times New Roman"/>
                <w:szCs w:val="24"/>
                <w:lang w:val="en-GB"/>
              </w:rPr>
            </w:pPr>
            <w:r>
              <w:rPr>
                <w:rFonts w:ascii="Times New Roman" w:hAnsi="Times New Roman"/>
                <w:szCs w:val="24"/>
                <w:lang w:val="en-GB"/>
              </w:rPr>
              <w:t>US$ 2.10 billion (5.08 % of total exports)</w:t>
            </w:r>
          </w:p>
        </w:tc>
      </w:tr>
      <w:tr>
        <w:trPr/>
        <w:tc>
          <w:tcPr>
            <w:tcW w:w="557"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rPr/>
            </w:pPr>
            <w:r>
              <w:rPr/>
              <w:t>6.</w:t>
            </w:r>
          </w:p>
        </w:tc>
        <w:tc>
          <w:tcPr>
            <w:tcW w:w="1349"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rPr>
                <w:rFonts w:ascii="Times New Roman" w:hAnsi="Times New Roman"/>
                <w:szCs w:val="24"/>
                <w:lang w:val="en-GB"/>
              </w:rPr>
            </w:pPr>
            <w:r>
              <w:rPr>
                <w:rFonts w:ascii="Times New Roman" w:hAnsi="Times New Roman"/>
                <w:szCs w:val="24"/>
                <w:lang w:val="en-GB"/>
              </w:rPr>
              <w:t xml:space="preserve">Libya        </w:t>
            </w:r>
          </w:p>
        </w:tc>
        <w:tc>
          <w:tcPr>
            <w:tcW w:w="662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rPr>
                <w:rFonts w:ascii="Times New Roman" w:hAnsi="Times New Roman"/>
                <w:szCs w:val="24"/>
                <w:lang w:val="en-GB"/>
              </w:rPr>
            </w:pPr>
            <w:r>
              <w:rPr>
                <w:rFonts w:ascii="Times New Roman" w:hAnsi="Times New Roman"/>
                <w:szCs w:val="24"/>
                <w:lang w:val="en-GB"/>
              </w:rPr>
              <w:t>US$ 2.00 billion (4.77 % of total exports)</w:t>
            </w:r>
          </w:p>
        </w:tc>
      </w:tr>
      <w:tr>
        <w:trPr/>
        <w:tc>
          <w:tcPr>
            <w:tcW w:w="557"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rPr>
                <w:lang w:val="en-GB"/>
              </w:rPr>
            </w:pPr>
            <w:r>
              <w:rPr>
                <w:lang w:val="en-GB"/>
              </w:rPr>
              <w:t>7.</w:t>
            </w:r>
          </w:p>
        </w:tc>
        <w:tc>
          <w:tcPr>
            <w:tcW w:w="1349"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rPr>
                <w:rFonts w:ascii="Times New Roman" w:hAnsi="Times New Roman"/>
                <w:szCs w:val="24"/>
                <w:lang w:val="en-GB"/>
              </w:rPr>
            </w:pPr>
            <w:r>
              <w:rPr>
                <w:rFonts w:ascii="Times New Roman" w:hAnsi="Times New Roman"/>
                <w:szCs w:val="24"/>
                <w:lang w:val="en-GB"/>
              </w:rPr>
              <w:t xml:space="preserve">Spain              </w:t>
            </w:r>
          </w:p>
        </w:tc>
        <w:tc>
          <w:tcPr>
            <w:tcW w:w="662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rPr>
                <w:rFonts w:ascii="Times New Roman" w:hAnsi="Times New Roman"/>
                <w:szCs w:val="24"/>
                <w:lang w:val="en-GB"/>
              </w:rPr>
            </w:pPr>
            <w:r>
              <w:rPr>
                <w:rFonts w:ascii="Times New Roman" w:hAnsi="Times New Roman"/>
                <w:szCs w:val="24"/>
                <w:lang w:val="en-GB"/>
              </w:rPr>
              <w:t>US$ 1.7 billion (4.10 % of total exports)</w:t>
            </w:r>
          </w:p>
        </w:tc>
      </w:tr>
      <w:tr>
        <w:trPr/>
        <w:tc>
          <w:tcPr>
            <w:tcW w:w="557"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rPr/>
            </w:pPr>
            <w:r>
              <w:rPr/>
              <w:t>8.</w:t>
            </w:r>
          </w:p>
        </w:tc>
        <w:tc>
          <w:tcPr>
            <w:tcW w:w="1349"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rPr>
                <w:rFonts w:ascii="Times New Roman" w:hAnsi="Times New Roman"/>
                <w:szCs w:val="24"/>
                <w:lang w:val="en-GB"/>
              </w:rPr>
            </w:pPr>
            <w:r>
              <w:rPr>
                <w:rFonts w:ascii="Times New Roman" w:hAnsi="Times New Roman"/>
                <w:szCs w:val="24"/>
                <w:lang w:val="en-GB"/>
              </w:rPr>
              <w:t xml:space="preserve">Greece            </w:t>
            </w:r>
          </w:p>
        </w:tc>
        <w:tc>
          <w:tcPr>
            <w:tcW w:w="662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rPr>
                <w:rFonts w:ascii="Times New Roman" w:hAnsi="Times New Roman"/>
                <w:szCs w:val="24"/>
                <w:lang w:val="en-GB"/>
              </w:rPr>
            </w:pPr>
            <w:r>
              <w:rPr>
                <w:rFonts w:ascii="Times New Roman" w:hAnsi="Times New Roman"/>
                <w:szCs w:val="24"/>
                <w:lang w:val="en-GB"/>
              </w:rPr>
              <w:t>US$ 1.40 billion (3.41 % of total exports)</w:t>
            </w:r>
          </w:p>
        </w:tc>
      </w:tr>
      <w:tr>
        <w:trPr/>
        <w:tc>
          <w:tcPr>
            <w:tcW w:w="557" w:type="dxa"/>
            <w:tcBorders>
              <w:top w:val="single" w:sz="4" w:space="0" w:color="000000"/>
              <w:left w:val="single" w:sz="4" w:space="0" w:color="000000"/>
              <w:bottom w:val="single" w:sz="4" w:space="0" w:color="000000"/>
            </w:tcBorders>
            <w:shd w:color="auto" w:fill="auto" w:val="clear"/>
          </w:tcPr>
          <w:p>
            <w:pPr>
              <w:pStyle w:val="Normal"/>
              <w:widowControl w:val="false"/>
              <w:spacing w:before="0" w:after="0"/>
              <w:rPr/>
            </w:pPr>
            <w:r>
              <w:rPr/>
              <w:t>9.</w:t>
            </w:r>
          </w:p>
        </w:tc>
        <w:tc>
          <w:tcPr>
            <w:tcW w:w="1349" w:type="dxa"/>
            <w:tcBorders>
              <w:top w:val="single" w:sz="4" w:space="0" w:color="000000"/>
              <w:left w:val="single" w:sz="4" w:space="0" w:color="000000"/>
              <w:bottom w:val="single" w:sz="4" w:space="0" w:color="000000"/>
            </w:tcBorders>
            <w:shd w:color="auto" w:fill="auto" w:val="clear"/>
          </w:tcPr>
          <w:p>
            <w:pPr>
              <w:pStyle w:val="Normal"/>
              <w:widowControl w:val="false"/>
              <w:spacing w:before="0" w:after="0"/>
              <w:rPr>
                <w:rFonts w:ascii="Times New Roman" w:hAnsi="Times New Roman"/>
                <w:szCs w:val="24"/>
                <w:lang w:val="en-GB"/>
              </w:rPr>
            </w:pPr>
            <w:r>
              <w:rPr>
                <w:rFonts w:ascii="Times New Roman" w:hAnsi="Times New Roman"/>
                <w:szCs w:val="24"/>
                <w:lang w:val="en-GB"/>
              </w:rPr>
              <w:t>United Kingdom</w:t>
            </w:r>
          </w:p>
        </w:tc>
        <w:tc>
          <w:tcPr>
            <w:tcW w:w="662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0"/>
              <w:rPr>
                <w:rFonts w:ascii="Times New Roman" w:hAnsi="Times New Roman"/>
                <w:szCs w:val="24"/>
                <w:lang w:val="en-GB"/>
              </w:rPr>
            </w:pPr>
            <w:r>
              <w:rPr>
                <w:rFonts w:ascii="Times New Roman" w:hAnsi="Times New Roman"/>
                <w:szCs w:val="24"/>
                <w:lang w:val="en-GB"/>
              </w:rPr>
              <w:t>US$ 1.30 billion (3.07 % of total exports)</w:t>
            </w:r>
          </w:p>
        </w:tc>
      </w:tr>
      <w:tr>
        <w:trPr/>
        <w:tc>
          <w:tcPr>
            <w:tcW w:w="557"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rPr/>
            </w:pPr>
            <w:r>
              <w:rPr/>
              <w:t>10.</w:t>
            </w:r>
          </w:p>
        </w:tc>
        <w:tc>
          <w:tcPr>
            <w:tcW w:w="1349"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rPr>
                <w:rFonts w:ascii="Times New Roman" w:hAnsi="Times New Roman"/>
                <w:szCs w:val="24"/>
                <w:lang w:val="en-GB"/>
              </w:rPr>
            </w:pPr>
            <w:r>
              <w:rPr>
                <w:rFonts w:ascii="Times New Roman" w:hAnsi="Times New Roman"/>
                <w:szCs w:val="24"/>
                <w:lang w:val="en-GB"/>
              </w:rPr>
              <w:t xml:space="preserve">India               </w:t>
            </w:r>
          </w:p>
        </w:tc>
        <w:tc>
          <w:tcPr>
            <w:tcW w:w="662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rPr>
                <w:rFonts w:ascii="Times New Roman" w:hAnsi="Times New Roman"/>
                <w:szCs w:val="24"/>
                <w:lang w:val="en-GB"/>
              </w:rPr>
            </w:pPr>
            <w:r>
              <w:rPr>
                <w:rFonts w:ascii="Times New Roman" w:hAnsi="Times New Roman"/>
                <w:szCs w:val="24"/>
                <w:lang w:val="en-GB"/>
              </w:rPr>
              <w:t>US$ 1.00 billion (2.51 % of total exports)</w:t>
            </w:r>
          </w:p>
        </w:tc>
      </w:tr>
    </w:tbl>
    <w:p>
      <w:pPr>
        <w:pStyle w:val="Normal"/>
        <w:spacing w:lineRule="auto" w:line="240" w:before="0" w:after="0"/>
        <w:ind w:right="425" w:hanging="0"/>
        <w:jc w:val="both"/>
        <w:rPr>
          <w:rFonts w:ascii="Times New Roman" w:hAnsi="Times New Roman" w:eastAsia="Noto Sans CJK SC"/>
          <w:kern w:val="2"/>
          <w:sz w:val="26"/>
          <w:szCs w:val="26"/>
          <w:lang w:val="en-GB" w:bidi="hi-IN"/>
        </w:rPr>
      </w:pPr>
      <w:r>
        <w:rPr>
          <w:rFonts w:eastAsia="Noto Sans CJK SC" w:ascii="Times New Roman" w:hAnsi="Times New Roman"/>
          <w:kern w:val="2"/>
          <w:sz w:val="26"/>
          <w:szCs w:val="26"/>
          <w:lang w:val="en-GB" w:bidi="hi-IN"/>
        </w:rPr>
      </w:r>
    </w:p>
    <w:p>
      <w:pPr>
        <w:pStyle w:val="ListParagraph"/>
        <w:numPr>
          <w:ilvl w:val="0"/>
          <w:numId w:val="17"/>
        </w:numPr>
        <w:spacing w:lineRule="auto" w:line="240" w:before="0" w:after="0"/>
        <w:ind w:left="720" w:right="425" w:hanging="360"/>
        <w:contextualSpacing/>
        <w:jc w:val="both"/>
        <w:rPr>
          <w:rFonts w:ascii="Times New Roman" w:hAnsi="Times New Roman"/>
          <w:sz w:val="24"/>
          <w:szCs w:val="28"/>
          <w:lang w:val="en-GB"/>
        </w:rPr>
      </w:pPr>
      <w:r>
        <w:rPr>
          <w:rFonts w:ascii="Times New Roman" w:hAnsi="Times New Roman"/>
          <w:sz w:val="24"/>
          <w:szCs w:val="28"/>
          <w:lang w:val="en-GB"/>
        </w:rPr>
        <w:t>India’s share is US$ 1 billion (2.51% of total exports). (10</w:t>
      </w:r>
      <w:r>
        <w:rPr>
          <w:rFonts w:ascii="Times New Roman" w:hAnsi="Times New Roman"/>
          <w:sz w:val="24"/>
          <w:szCs w:val="28"/>
          <w:vertAlign w:val="superscript"/>
          <w:lang w:val="en-GB"/>
        </w:rPr>
        <w:t>th</w:t>
      </w:r>
      <w:r>
        <w:rPr>
          <w:rFonts w:ascii="Times New Roman" w:hAnsi="Times New Roman"/>
          <w:sz w:val="24"/>
          <w:szCs w:val="28"/>
          <w:lang w:val="en-GB"/>
        </w:rPr>
        <w:t xml:space="preserve"> Rank).</w:t>
      </w:r>
    </w:p>
    <w:p>
      <w:pPr>
        <w:pStyle w:val="ListParagraph"/>
        <w:spacing w:lineRule="auto" w:line="240" w:before="0" w:after="0"/>
        <w:ind w:left="0" w:right="425" w:hanging="0"/>
        <w:contextualSpacing/>
        <w:jc w:val="both"/>
        <w:rPr>
          <w:rFonts w:ascii="Times New Roman" w:hAnsi="Times New Roman" w:eastAsia="Noto Sans CJK SC"/>
          <w:iCs/>
          <w:color w:val="FF0000"/>
          <w:kern w:val="2"/>
          <w:sz w:val="26"/>
          <w:szCs w:val="26"/>
          <w:lang w:val="en-GB" w:bidi="hi-IN"/>
        </w:rPr>
      </w:pPr>
      <w:r>
        <w:rPr>
          <w:rFonts w:eastAsia="Noto Sans CJK SC" w:ascii="Times New Roman" w:hAnsi="Times New Roman"/>
          <w:iCs/>
          <w:color w:val="FF0000"/>
          <w:kern w:val="2"/>
          <w:sz w:val="26"/>
          <w:szCs w:val="26"/>
          <w:lang w:val="en-GB" w:bidi="hi-IN"/>
        </w:rPr>
      </w:r>
    </w:p>
    <w:p>
      <w:pPr>
        <w:pStyle w:val="ListParagraph"/>
        <w:numPr>
          <w:ilvl w:val="0"/>
          <w:numId w:val="6"/>
        </w:numPr>
        <w:spacing w:lineRule="auto" w:line="360" w:before="0" w:after="0"/>
        <w:ind w:left="720" w:right="425" w:hanging="360"/>
        <w:contextualSpacing/>
        <w:rPr>
          <w:rFonts w:ascii="Times New Roman" w:hAnsi="Times New Roman"/>
        </w:rPr>
      </w:pPr>
      <w:r>
        <w:rPr>
          <w:rFonts w:ascii="Times New Roman" w:hAnsi="Times New Roman"/>
          <w:b/>
          <w:iCs/>
          <w:sz w:val="26"/>
          <w:szCs w:val="26"/>
        </w:rPr>
        <w:t xml:space="preserve">Egypt Top Import Sources </w:t>
      </w:r>
      <w:r>
        <w:rPr>
          <w:rFonts w:ascii="Times New Roman" w:hAnsi="Times New Roman"/>
          <w:b/>
          <w:i/>
          <w:iCs/>
          <w:sz w:val="26"/>
          <w:szCs w:val="26"/>
          <w:lang w:val="en-GB"/>
        </w:rPr>
        <w:t>(Apr 23 – June24</w:t>
      </w:r>
      <w:r>
        <w:rPr>
          <w:rFonts w:ascii="Times New Roman" w:hAnsi="Times New Roman"/>
          <w:b/>
          <w:i/>
          <w:iCs/>
          <w:color w:val="000000"/>
          <w:sz w:val="26"/>
          <w:szCs w:val="26"/>
          <w:lang w:val="en-GB"/>
        </w:rPr>
        <w:t>)</w:t>
      </w:r>
      <w:r>
        <w:rPr>
          <w:rFonts w:ascii="Times New Roman" w:hAnsi="Times New Roman"/>
          <w:b/>
          <w:i/>
          <w:iCs/>
          <w:sz w:val="26"/>
          <w:szCs w:val="26"/>
          <w:lang w:val="en-GB"/>
        </w:rPr>
        <w:t>:</w:t>
      </w:r>
      <w:r>
        <w:rPr>
          <w:rFonts w:ascii="Times New Roman" w:hAnsi="Times New Roman"/>
          <w:sz w:val="26"/>
          <w:szCs w:val="26"/>
        </w:rPr>
        <w:t xml:space="preserve"> (Data is available till March 2024 on CAPMAS)</w:t>
      </w:r>
    </w:p>
    <w:tbl>
      <w:tblPr>
        <w:tblW w:w="8532" w:type="dxa"/>
        <w:jc w:val="left"/>
        <w:tblInd w:w="715" w:type="dxa"/>
        <w:tblLayout w:type="fixed"/>
        <w:tblCellMar>
          <w:top w:w="0" w:type="dxa"/>
          <w:left w:w="108" w:type="dxa"/>
          <w:bottom w:w="0" w:type="dxa"/>
          <w:right w:w="108" w:type="dxa"/>
        </w:tblCellMar>
        <w:tblLook w:val="0000" w:noHBand="0" w:noVBand="0" w:firstColumn="0" w:lastRow="0" w:lastColumn="0" w:firstRow="0"/>
      </w:tblPr>
      <w:tblGrid>
        <w:gridCol w:w="743"/>
        <w:gridCol w:w="1349"/>
        <w:gridCol w:w="6440"/>
      </w:tblGrid>
      <w:tr>
        <w:trPr/>
        <w:tc>
          <w:tcPr>
            <w:tcW w:w="743" w:type="dxa"/>
            <w:tcBorders>
              <w:top w:val="single" w:sz="4" w:space="0" w:color="000000"/>
              <w:left w:val="single" w:sz="4" w:space="0" w:color="000000"/>
              <w:bottom w:val="single" w:sz="4" w:space="0" w:color="000000"/>
            </w:tcBorders>
            <w:shd w:color="auto" w:fill="auto" w:val="clear"/>
          </w:tcPr>
          <w:p>
            <w:pPr>
              <w:pStyle w:val="WW-ListParagraph"/>
              <w:widowControl w:val="false"/>
              <w:snapToGrid w:val="false"/>
              <w:spacing w:lineRule="auto" w:line="360" w:before="0" w:after="0"/>
              <w:ind w:left="360" w:right="425" w:hanging="0"/>
              <w:contextualSpacing/>
              <w:rPr>
                <w:rFonts w:ascii="Times New Roman" w:hAnsi="Times New Roman"/>
                <w:sz w:val="26"/>
                <w:szCs w:val="26"/>
              </w:rPr>
            </w:pPr>
            <w:r>
              <w:rPr>
                <w:rFonts w:ascii="Times New Roman" w:hAnsi="Times New Roman"/>
                <w:sz w:val="26"/>
                <w:szCs w:val="26"/>
              </w:rPr>
              <w:t>1</w:t>
            </w:r>
          </w:p>
        </w:tc>
        <w:tc>
          <w:tcPr>
            <w:tcW w:w="1349"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rPr>
                <w:rFonts w:ascii="Times New Roman" w:hAnsi="Times New Roman"/>
                <w:szCs w:val="24"/>
                <w:lang w:val="en-GB"/>
              </w:rPr>
            </w:pPr>
            <w:r>
              <w:rPr>
                <w:rFonts w:ascii="Times New Roman" w:hAnsi="Times New Roman"/>
                <w:szCs w:val="24"/>
                <w:lang w:val="en-GB"/>
              </w:rPr>
              <w:t>China</w:t>
            </w:r>
          </w:p>
        </w:tc>
        <w:tc>
          <w:tcPr>
            <w:tcW w:w="64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rPr>
                <w:rFonts w:ascii="Times New Roman" w:hAnsi="Times New Roman"/>
                <w:szCs w:val="24"/>
                <w:lang w:val="en-GB"/>
              </w:rPr>
            </w:pPr>
            <w:r>
              <w:rPr>
                <w:rFonts w:ascii="Times New Roman" w:hAnsi="Times New Roman"/>
                <w:szCs w:val="24"/>
                <w:lang w:val="en-GB"/>
              </w:rPr>
              <w:t>US$ 12.50 billion (15.27 % of total imports)</w:t>
            </w:r>
          </w:p>
        </w:tc>
      </w:tr>
      <w:tr>
        <w:trPr/>
        <w:tc>
          <w:tcPr>
            <w:tcW w:w="743" w:type="dxa"/>
            <w:tcBorders>
              <w:top w:val="single" w:sz="4" w:space="0" w:color="000000"/>
              <w:left w:val="single" w:sz="4" w:space="0" w:color="000000"/>
              <w:bottom w:val="single" w:sz="4" w:space="0" w:color="000000"/>
            </w:tcBorders>
            <w:shd w:color="auto" w:fill="auto" w:val="clear"/>
          </w:tcPr>
          <w:p>
            <w:pPr>
              <w:pStyle w:val="WW-ListParagraph"/>
              <w:widowControl w:val="false"/>
              <w:snapToGrid w:val="false"/>
              <w:spacing w:lineRule="auto" w:line="360" w:before="0" w:after="0"/>
              <w:ind w:left="360" w:right="425" w:hanging="0"/>
              <w:contextualSpacing/>
              <w:rPr>
                <w:rFonts w:ascii="Times New Roman" w:hAnsi="Times New Roman"/>
                <w:b/>
                <w:sz w:val="26"/>
                <w:szCs w:val="26"/>
                <w:lang w:val="en-IN"/>
              </w:rPr>
            </w:pPr>
            <w:r>
              <w:rPr>
                <w:rFonts w:ascii="Times New Roman" w:hAnsi="Times New Roman"/>
                <w:b/>
                <w:sz w:val="26"/>
                <w:szCs w:val="26"/>
                <w:lang w:val="en-IN"/>
              </w:rPr>
              <w:t>2</w:t>
            </w:r>
          </w:p>
        </w:tc>
        <w:tc>
          <w:tcPr>
            <w:tcW w:w="1349"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rPr>
                <w:rFonts w:ascii="Times New Roman" w:hAnsi="Times New Roman"/>
                <w:szCs w:val="24"/>
                <w:lang w:val="en-GB"/>
              </w:rPr>
            </w:pPr>
            <w:r>
              <w:rPr>
                <w:rFonts w:ascii="Times New Roman" w:hAnsi="Times New Roman"/>
                <w:szCs w:val="24"/>
                <w:lang w:val="en-GB"/>
              </w:rPr>
              <w:t>KSA</w:t>
            </w:r>
          </w:p>
        </w:tc>
        <w:tc>
          <w:tcPr>
            <w:tcW w:w="64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rPr>
                <w:rFonts w:ascii="Times New Roman" w:hAnsi="Times New Roman"/>
                <w:szCs w:val="24"/>
                <w:lang w:val="en-GB"/>
              </w:rPr>
            </w:pPr>
            <w:r>
              <w:rPr>
                <w:rFonts w:ascii="Times New Roman" w:hAnsi="Times New Roman"/>
                <w:szCs w:val="24"/>
                <w:lang w:val="en-GB"/>
              </w:rPr>
              <w:t>US$ 5.50 billion (6.72 % of total imports)</w:t>
            </w:r>
          </w:p>
        </w:tc>
      </w:tr>
      <w:tr>
        <w:trPr/>
        <w:tc>
          <w:tcPr>
            <w:tcW w:w="743" w:type="dxa"/>
            <w:tcBorders>
              <w:top w:val="single" w:sz="4" w:space="0" w:color="000000"/>
              <w:left w:val="single" w:sz="4" w:space="0" w:color="000000"/>
              <w:bottom w:val="single" w:sz="4" w:space="0" w:color="000000"/>
            </w:tcBorders>
            <w:shd w:color="auto" w:fill="auto" w:val="clear"/>
          </w:tcPr>
          <w:p>
            <w:pPr>
              <w:pStyle w:val="WW-ListParagraph"/>
              <w:widowControl w:val="false"/>
              <w:snapToGrid w:val="false"/>
              <w:spacing w:lineRule="auto" w:line="360" w:before="0" w:after="0"/>
              <w:ind w:left="360" w:right="425" w:hanging="0"/>
              <w:contextualSpacing/>
              <w:rPr>
                <w:rFonts w:ascii="Times New Roman" w:hAnsi="Times New Roman"/>
                <w:b/>
                <w:sz w:val="26"/>
                <w:szCs w:val="26"/>
                <w:lang w:val="en-IN"/>
              </w:rPr>
            </w:pPr>
            <w:r>
              <w:rPr>
                <w:rFonts w:ascii="Times New Roman" w:hAnsi="Times New Roman"/>
                <w:b/>
                <w:sz w:val="26"/>
                <w:szCs w:val="26"/>
                <w:lang w:val="en-IN"/>
              </w:rPr>
              <w:t>3</w:t>
            </w:r>
          </w:p>
        </w:tc>
        <w:tc>
          <w:tcPr>
            <w:tcW w:w="1349"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rPr>
                <w:rFonts w:ascii="Times New Roman" w:hAnsi="Times New Roman"/>
                <w:szCs w:val="24"/>
                <w:lang w:val="en-GB"/>
              </w:rPr>
            </w:pPr>
            <w:r>
              <w:rPr>
                <w:rFonts w:ascii="Times New Roman" w:hAnsi="Times New Roman"/>
                <w:szCs w:val="24"/>
                <w:lang w:val="en-GB"/>
              </w:rPr>
              <w:t>USA</w:t>
            </w:r>
          </w:p>
        </w:tc>
        <w:tc>
          <w:tcPr>
            <w:tcW w:w="64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rPr>
                <w:rFonts w:ascii="Times New Roman" w:hAnsi="Times New Roman"/>
                <w:szCs w:val="24"/>
                <w:lang w:val="en-GB"/>
              </w:rPr>
            </w:pPr>
            <w:r>
              <w:rPr>
                <w:rFonts w:ascii="Times New Roman" w:hAnsi="Times New Roman"/>
                <w:szCs w:val="24"/>
                <w:lang w:val="en-GB"/>
              </w:rPr>
              <w:t>US$ 5.20 billion (6.35 % of total imports)</w:t>
            </w:r>
          </w:p>
        </w:tc>
      </w:tr>
      <w:tr>
        <w:trPr/>
        <w:tc>
          <w:tcPr>
            <w:tcW w:w="743" w:type="dxa"/>
            <w:tcBorders>
              <w:top w:val="single" w:sz="4" w:space="0" w:color="000000"/>
              <w:left w:val="single" w:sz="4" w:space="0" w:color="000000"/>
              <w:bottom w:val="single" w:sz="4" w:space="0" w:color="000000"/>
            </w:tcBorders>
            <w:shd w:color="auto" w:fill="auto" w:val="clear"/>
          </w:tcPr>
          <w:p>
            <w:pPr>
              <w:pStyle w:val="WW-ListParagraph"/>
              <w:widowControl w:val="false"/>
              <w:snapToGrid w:val="false"/>
              <w:spacing w:lineRule="auto" w:line="360" w:before="0" w:after="0"/>
              <w:ind w:left="360" w:right="425" w:hanging="0"/>
              <w:contextualSpacing/>
              <w:rPr>
                <w:rFonts w:ascii="Times New Roman" w:hAnsi="Times New Roman"/>
                <w:b/>
                <w:sz w:val="26"/>
                <w:szCs w:val="26"/>
                <w:lang w:val="en-IN"/>
              </w:rPr>
            </w:pPr>
            <w:r>
              <w:rPr>
                <w:rFonts w:ascii="Times New Roman" w:hAnsi="Times New Roman"/>
                <w:b/>
                <w:sz w:val="26"/>
                <w:szCs w:val="26"/>
                <w:lang w:val="en-IN"/>
              </w:rPr>
              <w:t>4</w:t>
            </w:r>
          </w:p>
        </w:tc>
        <w:tc>
          <w:tcPr>
            <w:tcW w:w="1349"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rPr>
                <w:rFonts w:ascii="Times New Roman" w:hAnsi="Times New Roman"/>
                <w:szCs w:val="24"/>
                <w:lang w:val="en-GB"/>
              </w:rPr>
            </w:pPr>
            <w:r>
              <w:rPr>
                <w:rFonts w:ascii="Times New Roman" w:hAnsi="Times New Roman"/>
                <w:szCs w:val="24"/>
                <w:lang w:val="en-GB"/>
              </w:rPr>
              <w:t>Russia</w:t>
            </w:r>
          </w:p>
        </w:tc>
        <w:tc>
          <w:tcPr>
            <w:tcW w:w="64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rPr>
                <w:rFonts w:ascii="Times New Roman" w:hAnsi="Times New Roman"/>
                <w:szCs w:val="24"/>
                <w:lang w:val="en-GB"/>
              </w:rPr>
            </w:pPr>
            <w:r>
              <w:rPr>
                <w:rFonts w:ascii="Times New Roman" w:hAnsi="Times New Roman"/>
                <w:szCs w:val="24"/>
                <w:lang w:val="en-GB"/>
              </w:rPr>
              <w:t>US$ 4.80 billion (5.87 % of total imports)</w:t>
            </w:r>
          </w:p>
        </w:tc>
      </w:tr>
      <w:tr>
        <w:trPr/>
        <w:tc>
          <w:tcPr>
            <w:tcW w:w="743" w:type="dxa"/>
            <w:tcBorders>
              <w:top w:val="single" w:sz="4" w:space="0" w:color="000000"/>
              <w:left w:val="single" w:sz="4" w:space="0" w:color="000000"/>
              <w:bottom w:val="single" w:sz="4" w:space="0" w:color="000000"/>
            </w:tcBorders>
            <w:shd w:color="auto" w:fill="auto" w:val="clear"/>
          </w:tcPr>
          <w:p>
            <w:pPr>
              <w:pStyle w:val="WW-ListParagraph"/>
              <w:widowControl w:val="false"/>
              <w:snapToGrid w:val="false"/>
              <w:spacing w:lineRule="auto" w:line="360" w:before="0" w:after="0"/>
              <w:ind w:left="360" w:right="425" w:hanging="0"/>
              <w:contextualSpacing/>
              <w:rPr>
                <w:rFonts w:ascii="Times New Roman" w:hAnsi="Times New Roman"/>
                <w:b/>
                <w:sz w:val="26"/>
                <w:szCs w:val="26"/>
                <w:lang w:val="en-IN"/>
              </w:rPr>
            </w:pPr>
            <w:r>
              <w:rPr>
                <w:rFonts w:ascii="Times New Roman" w:hAnsi="Times New Roman"/>
                <w:b/>
                <w:sz w:val="26"/>
                <w:szCs w:val="26"/>
                <w:lang w:val="en-IN"/>
              </w:rPr>
              <w:t>5</w:t>
            </w:r>
          </w:p>
        </w:tc>
        <w:tc>
          <w:tcPr>
            <w:tcW w:w="1349"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rPr>
                <w:rFonts w:ascii="Times New Roman" w:hAnsi="Times New Roman"/>
                <w:szCs w:val="24"/>
                <w:lang w:val="en-GB"/>
              </w:rPr>
            </w:pPr>
            <w:r>
              <w:rPr>
                <w:rFonts w:ascii="Times New Roman" w:hAnsi="Times New Roman"/>
                <w:szCs w:val="24"/>
                <w:lang w:val="en-GB"/>
              </w:rPr>
              <w:t>Germany</w:t>
            </w:r>
          </w:p>
        </w:tc>
        <w:tc>
          <w:tcPr>
            <w:tcW w:w="64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rPr>
                <w:rFonts w:ascii="Times New Roman" w:hAnsi="Times New Roman"/>
                <w:szCs w:val="24"/>
                <w:lang w:val="en-GB"/>
              </w:rPr>
            </w:pPr>
            <w:r>
              <w:rPr>
                <w:rFonts w:ascii="Times New Roman" w:hAnsi="Times New Roman"/>
                <w:szCs w:val="24"/>
                <w:lang w:val="en-GB"/>
              </w:rPr>
              <w:t>US$ 4.10 billion (4.96 % of total imports)</w:t>
            </w:r>
          </w:p>
        </w:tc>
      </w:tr>
      <w:tr>
        <w:trPr/>
        <w:tc>
          <w:tcPr>
            <w:tcW w:w="743" w:type="dxa"/>
            <w:tcBorders>
              <w:top w:val="single" w:sz="4" w:space="0" w:color="000000"/>
              <w:left w:val="single" w:sz="4" w:space="0" w:color="000000"/>
              <w:bottom w:val="single" w:sz="4" w:space="0" w:color="000000"/>
            </w:tcBorders>
            <w:shd w:color="auto" w:fill="auto" w:val="clear"/>
          </w:tcPr>
          <w:p>
            <w:pPr>
              <w:pStyle w:val="WW-ListParagraph"/>
              <w:widowControl w:val="false"/>
              <w:snapToGrid w:val="false"/>
              <w:spacing w:lineRule="auto" w:line="360" w:before="0" w:after="0"/>
              <w:ind w:left="360" w:right="425" w:hanging="0"/>
              <w:contextualSpacing/>
              <w:rPr>
                <w:rFonts w:ascii="Times New Roman" w:hAnsi="Times New Roman"/>
                <w:b/>
                <w:sz w:val="26"/>
                <w:szCs w:val="26"/>
                <w:lang w:val="en-IN"/>
              </w:rPr>
            </w:pPr>
            <w:r>
              <w:rPr>
                <w:rFonts w:ascii="Times New Roman" w:hAnsi="Times New Roman"/>
                <w:b/>
                <w:sz w:val="26"/>
                <w:szCs w:val="26"/>
                <w:lang w:val="en-IN"/>
              </w:rPr>
              <w:t>6</w:t>
            </w:r>
          </w:p>
        </w:tc>
        <w:tc>
          <w:tcPr>
            <w:tcW w:w="1349"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rPr>
                <w:rFonts w:ascii="Times New Roman" w:hAnsi="Times New Roman"/>
                <w:szCs w:val="24"/>
                <w:lang w:val="en-GB"/>
              </w:rPr>
            </w:pPr>
            <w:r>
              <w:rPr>
                <w:rFonts w:ascii="Times New Roman" w:hAnsi="Times New Roman"/>
                <w:szCs w:val="24"/>
                <w:lang w:val="en-GB"/>
              </w:rPr>
              <w:t>Italy</w:t>
            </w:r>
          </w:p>
        </w:tc>
        <w:tc>
          <w:tcPr>
            <w:tcW w:w="64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rPr>
                <w:rFonts w:ascii="Times New Roman" w:hAnsi="Times New Roman"/>
                <w:szCs w:val="24"/>
                <w:lang w:val="en-GB"/>
              </w:rPr>
            </w:pPr>
            <w:r>
              <w:rPr>
                <w:rFonts w:ascii="Times New Roman" w:hAnsi="Times New Roman"/>
                <w:szCs w:val="24"/>
                <w:lang w:val="en-GB"/>
              </w:rPr>
              <w:t>US$ 3.20 billion (3.93 % of total imports)</w:t>
            </w:r>
          </w:p>
        </w:tc>
      </w:tr>
      <w:tr>
        <w:trPr/>
        <w:tc>
          <w:tcPr>
            <w:tcW w:w="743" w:type="dxa"/>
            <w:tcBorders>
              <w:top w:val="single" w:sz="4" w:space="0" w:color="000000"/>
              <w:left w:val="single" w:sz="4" w:space="0" w:color="000000"/>
              <w:bottom w:val="single" w:sz="4" w:space="0" w:color="000000"/>
            </w:tcBorders>
            <w:shd w:color="auto" w:fill="auto" w:val="clear"/>
          </w:tcPr>
          <w:p>
            <w:pPr>
              <w:pStyle w:val="WW-ListParagraph"/>
              <w:widowControl w:val="false"/>
              <w:snapToGrid w:val="false"/>
              <w:spacing w:lineRule="auto" w:line="360" w:before="0" w:after="0"/>
              <w:ind w:left="360" w:right="425" w:hanging="0"/>
              <w:contextualSpacing/>
              <w:rPr>
                <w:rFonts w:ascii="Times New Roman" w:hAnsi="Times New Roman"/>
                <w:b/>
                <w:sz w:val="26"/>
                <w:szCs w:val="26"/>
                <w:lang w:val="en-IN"/>
              </w:rPr>
            </w:pPr>
            <w:r>
              <w:rPr>
                <w:rFonts w:ascii="Times New Roman" w:hAnsi="Times New Roman"/>
                <w:b/>
                <w:sz w:val="26"/>
                <w:szCs w:val="26"/>
                <w:lang w:val="en-IN"/>
              </w:rPr>
              <w:t>7</w:t>
            </w:r>
          </w:p>
        </w:tc>
        <w:tc>
          <w:tcPr>
            <w:tcW w:w="1349"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rPr>
                <w:rFonts w:ascii="Times New Roman" w:hAnsi="Times New Roman"/>
                <w:szCs w:val="24"/>
                <w:lang w:val="en-IN"/>
              </w:rPr>
            </w:pPr>
            <w:r>
              <w:rPr>
                <w:rFonts w:ascii="Times New Roman" w:hAnsi="Times New Roman"/>
                <w:szCs w:val="24"/>
                <w:lang w:val="en-GB"/>
              </w:rPr>
              <w:t xml:space="preserve">India         </w:t>
            </w:r>
          </w:p>
        </w:tc>
        <w:tc>
          <w:tcPr>
            <w:tcW w:w="64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rPr>
                <w:rFonts w:ascii="Times New Roman" w:hAnsi="Times New Roman"/>
                <w:szCs w:val="24"/>
                <w:lang w:val="en-GB"/>
              </w:rPr>
            </w:pPr>
            <w:r>
              <w:rPr>
                <w:rFonts w:ascii="Times New Roman" w:hAnsi="Times New Roman"/>
                <w:szCs w:val="24"/>
                <w:lang w:val="en-GB"/>
              </w:rPr>
              <w:t>US$ 2.90 billion (3.54 % of total imports)</w:t>
            </w:r>
          </w:p>
        </w:tc>
      </w:tr>
    </w:tbl>
    <w:p>
      <w:pPr>
        <w:pStyle w:val="ListParagraph"/>
        <w:spacing w:lineRule="auto" w:line="240" w:before="0" w:after="0"/>
        <w:ind w:left="0" w:right="425" w:hanging="0"/>
        <w:contextualSpacing/>
        <w:jc w:val="both"/>
        <w:rPr>
          <w:rFonts w:ascii="Times New Roman" w:hAnsi="Times New Roman"/>
          <w:kern w:val="2"/>
          <w:sz w:val="26"/>
          <w:szCs w:val="26"/>
          <w:lang w:bidi="hi-IN"/>
        </w:rPr>
      </w:pPr>
      <w:r>
        <w:rPr>
          <w:rFonts w:ascii="Times New Roman" w:hAnsi="Times New Roman"/>
          <w:kern w:val="2"/>
          <w:sz w:val="26"/>
          <w:szCs w:val="26"/>
          <w:lang w:bidi="hi-IN"/>
        </w:rPr>
      </w:r>
    </w:p>
    <w:p>
      <w:pPr>
        <w:pStyle w:val="ListParagraph"/>
        <w:numPr>
          <w:ilvl w:val="0"/>
          <w:numId w:val="16"/>
        </w:numPr>
        <w:spacing w:lineRule="auto" w:line="240" w:before="0" w:after="0"/>
        <w:ind w:left="720" w:right="425" w:hanging="360"/>
        <w:contextualSpacing/>
        <w:jc w:val="both"/>
        <w:rPr>
          <w:rFonts w:ascii="Times New Roman" w:hAnsi="Times New Roman"/>
          <w:kern w:val="2"/>
          <w:sz w:val="26"/>
          <w:szCs w:val="26"/>
          <w:lang w:val="en-GB" w:bidi="hi-IN"/>
        </w:rPr>
      </w:pPr>
      <w:r>
        <w:rPr>
          <w:rFonts w:ascii="Times New Roman" w:hAnsi="Times New Roman"/>
          <w:kern w:val="2"/>
          <w:sz w:val="26"/>
          <w:szCs w:val="26"/>
          <w:lang w:val="en-GB" w:bidi="hi-IN"/>
        </w:rPr>
        <w:t>Trading Partner India’s share is 3.54 % (7</w:t>
      </w:r>
      <w:r>
        <w:rPr>
          <w:rFonts w:ascii="Times New Roman" w:hAnsi="Times New Roman"/>
          <w:kern w:val="2"/>
          <w:sz w:val="26"/>
          <w:szCs w:val="26"/>
          <w:vertAlign w:val="superscript"/>
          <w:lang w:val="en-GB" w:bidi="hi-IN"/>
        </w:rPr>
        <w:t xml:space="preserve">th </w:t>
      </w:r>
      <w:r>
        <w:rPr>
          <w:rFonts w:ascii="Times New Roman" w:hAnsi="Times New Roman"/>
          <w:kern w:val="2"/>
          <w:sz w:val="26"/>
          <w:szCs w:val="26"/>
          <w:lang w:val="en-GB" w:bidi="hi-IN"/>
        </w:rPr>
        <w:t xml:space="preserve">Rank).  </w:t>
      </w:r>
    </w:p>
    <w:p>
      <w:pPr>
        <w:pStyle w:val="TextBody"/>
        <w:widowControl w:val="false"/>
        <w:tabs>
          <w:tab w:val="clear" w:pos="720"/>
          <w:tab w:val="left" w:pos="0" w:leader="none"/>
          <w:tab w:val="left" w:pos="540" w:leader="none"/>
          <w:tab w:val="center" w:pos="4153" w:leader="none"/>
          <w:tab w:val="right" w:pos="8306" w:leader="none"/>
        </w:tabs>
        <w:spacing w:before="0" w:after="0"/>
        <w:rPr>
          <w:rFonts w:ascii="Times New Roman" w:hAnsi="Times New Roman" w:cs="Times New Roman"/>
        </w:rPr>
      </w:pPr>
      <w:r>
        <w:rPr>
          <w:rFonts w:cs="Times New Roman" w:ascii="Times New Roman" w:hAnsi="Times New Roman"/>
        </w:rPr>
      </w:r>
    </w:p>
    <w:p>
      <w:pPr>
        <w:pStyle w:val="Normal"/>
        <w:spacing w:before="0" w:after="0"/>
        <w:ind w:left="5040" w:right="425" w:firstLine="720"/>
        <w:jc w:val="right"/>
        <w:rPr>
          <w:rFonts w:ascii="Times New Roman" w:hAnsi="Times New Roman"/>
        </w:rPr>
      </w:pPr>
      <w:r>
        <w:rPr>
          <w:rFonts w:ascii="Times New Roman" w:hAnsi="Times New Roman"/>
          <w:i/>
          <w:sz w:val="26"/>
          <w:szCs w:val="26"/>
        </w:rPr>
        <w:t>*Source: CAPMAS</w:t>
      </w:r>
    </w:p>
    <w:p>
      <w:pPr>
        <w:pStyle w:val="Normal"/>
        <w:tabs>
          <w:tab w:val="clear" w:pos="720"/>
          <w:tab w:val="left" w:pos="-142" w:leader="none"/>
        </w:tabs>
        <w:spacing w:lineRule="auto" w:line="240" w:before="0" w:after="0"/>
        <w:ind w:right="425" w:hanging="0"/>
        <w:jc w:val="both"/>
        <w:rPr>
          <w:rFonts w:ascii="Times New Roman" w:hAnsi="Times New Roman"/>
          <w:i/>
          <w:i/>
          <w:iCs/>
          <w:color w:val="FF0000"/>
          <w:sz w:val="26"/>
          <w:szCs w:val="26"/>
        </w:rPr>
      </w:pPr>
      <w:r>
        <w:rPr>
          <w:rFonts w:ascii="Times New Roman" w:hAnsi="Times New Roman"/>
          <w:i/>
          <w:iCs/>
          <w:color w:val="FF0000"/>
          <w:sz w:val="26"/>
          <w:szCs w:val="26"/>
        </w:rPr>
      </w:r>
    </w:p>
    <w:p>
      <w:pPr>
        <w:pStyle w:val="ListParagraph"/>
        <w:numPr>
          <w:ilvl w:val="0"/>
          <w:numId w:val="6"/>
        </w:numPr>
        <w:tabs>
          <w:tab w:val="clear" w:pos="720"/>
          <w:tab w:val="left" w:pos="-142" w:leader="none"/>
        </w:tabs>
        <w:spacing w:lineRule="auto" w:line="360" w:before="0" w:after="0"/>
        <w:ind w:left="720" w:right="425" w:hanging="360"/>
        <w:contextualSpacing/>
        <w:jc w:val="both"/>
        <w:rPr>
          <w:rFonts w:ascii="Times New Roman" w:hAnsi="Times New Roman"/>
        </w:rPr>
      </w:pPr>
      <w:r>
        <w:rPr>
          <w:rFonts w:ascii="Times New Roman" w:hAnsi="Times New Roman"/>
          <w:b/>
          <w:iCs/>
          <w:sz w:val="26"/>
          <w:szCs w:val="26"/>
        </w:rPr>
        <w:t>Membership in FTA’s</w:t>
      </w:r>
    </w:p>
    <w:p>
      <w:pPr>
        <w:pStyle w:val="ListParagraph"/>
        <w:numPr>
          <w:ilvl w:val="0"/>
          <w:numId w:val="7"/>
        </w:numPr>
        <w:spacing w:lineRule="auto" w:line="360" w:before="0" w:after="0"/>
        <w:ind w:left="360" w:right="425" w:hanging="360"/>
        <w:contextualSpacing/>
        <w:jc w:val="both"/>
        <w:rPr>
          <w:rFonts w:ascii="Times New Roman" w:hAnsi="Times New Roman"/>
        </w:rPr>
      </w:pPr>
      <w:r>
        <w:rPr>
          <w:rFonts w:ascii="Times New Roman" w:hAnsi="Times New Roman"/>
          <w:iCs/>
          <w:sz w:val="26"/>
          <w:szCs w:val="26"/>
        </w:rPr>
        <w:t>Pan Arab Free Trade Agreement/ Greater Arab Free Trade Agreement (GAFTA)</w:t>
      </w:r>
    </w:p>
    <w:p>
      <w:pPr>
        <w:pStyle w:val="ListParagraph"/>
        <w:numPr>
          <w:ilvl w:val="0"/>
          <w:numId w:val="7"/>
        </w:numPr>
        <w:spacing w:lineRule="auto" w:line="360" w:before="0" w:after="0"/>
        <w:ind w:left="360" w:right="425" w:hanging="360"/>
        <w:contextualSpacing/>
        <w:jc w:val="both"/>
        <w:rPr>
          <w:rFonts w:ascii="Times New Roman" w:hAnsi="Times New Roman"/>
        </w:rPr>
      </w:pPr>
      <w:r>
        <w:rPr>
          <w:rFonts w:ascii="Times New Roman" w:hAnsi="Times New Roman"/>
          <w:iCs/>
          <w:sz w:val="26"/>
          <w:szCs w:val="26"/>
        </w:rPr>
        <w:t>Common Market for Eastern and Southern Africa (COMESA)</w:t>
      </w:r>
    </w:p>
    <w:p>
      <w:pPr>
        <w:pStyle w:val="ListParagraph"/>
        <w:numPr>
          <w:ilvl w:val="0"/>
          <w:numId w:val="7"/>
        </w:numPr>
        <w:spacing w:lineRule="auto" w:line="360" w:before="0" w:after="0"/>
        <w:ind w:left="360" w:right="425" w:hanging="360"/>
        <w:contextualSpacing/>
        <w:jc w:val="both"/>
        <w:rPr>
          <w:rFonts w:ascii="Times New Roman" w:hAnsi="Times New Roman"/>
        </w:rPr>
      </w:pPr>
      <w:r>
        <w:rPr>
          <w:rFonts w:ascii="Times New Roman" w:hAnsi="Times New Roman"/>
          <w:iCs/>
          <w:sz w:val="26"/>
          <w:szCs w:val="26"/>
        </w:rPr>
        <w:t>Agadir Free Trade Agreement</w:t>
      </w:r>
    </w:p>
    <w:p>
      <w:pPr>
        <w:pStyle w:val="ListParagraph"/>
        <w:numPr>
          <w:ilvl w:val="0"/>
          <w:numId w:val="7"/>
        </w:numPr>
        <w:spacing w:lineRule="auto" w:line="360" w:before="0" w:after="0"/>
        <w:ind w:left="360" w:right="425" w:hanging="360"/>
        <w:contextualSpacing/>
        <w:jc w:val="both"/>
        <w:rPr>
          <w:rFonts w:ascii="Times New Roman" w:hAnsi="Times New Roman"/>
        </w:rPr>
      </w:pPr>
      <w:r>
        <w:rPr>
          <w:rFonts w:ascii="Times New Roman" w:hAnsi="Times New Roman"/>
          <w:iCs/>
          <w:sz w:val="26"/>
          <w:szCs w:val="26"/>
        </w:rPr>
        <w:t>Egypt-EU Association Agreement</w:t>
      </w:r>
    </w:p>
    <w:p>
      <w:pPr>
        <w:pStyle w:val="ListParagraph"/>
        <w:numPr>
          <w:ilvl w:val="0"/>
          <w:numId w:val="7"/>
        </w:numPr>
        <w:spacing w:lineRule="auto" w:line="360" w:before="0" w:after="0"/>
        <w:ind w:left="360" w:right="425" w:hanging="360"/>
        <w:contextualSpacing/>
        <w:jc w:val="both"/>
        <w:rPr>
          <w:rFonts w:ascii="Times New Roman" w:hAnsi="Times New Roman"/>
        </w:rPr>
      </w:pPr>
      <w:r>
        <w:rPr>
          <w:rFonts w:ascii="Times New Roman" w:hAnsi="Times New Roman"/>
          <w:iCs/>
          <w:sz w:val="26"/>
          <w:szCs w:val="26"/>
        </w:rPr>
        <w:t>Egypt-EFTA Free Trade Agreement</w:t>
      </w:r>
    </w:p>
    <w:p>
      <w:pPr>
        <w:pStyle w:val="ListParagraph"/>
        <w:numPr>
          <w:ilvl w:val="0"/>
          <w:numId w:val="7"/>
        </w:numPr>
        <w:spacing w:lineRule="auto" w:line="360"/>
        <w:ind w:left="360" w:right="425" w:hanging="360"/>
        <w:jc w:val="both"/>
        <w:rPr>
          <w:rFonts w:ascii="Times New Roman" w:hAnsi="Times New Roman"/>
        </w:rPr>
      </w:pPr>
      <w:r>
        <w:rPr>
          <w:rFonts w:ascii="Times New Roman" w:hAnsi="Times New Roman"/>
          <w:iCs/>
          <w:sz w:val="26"/>
          <w:szCs w:val="26"/>
        </w:rPr>
        <w:t>Qualified Industrial Zones (QIZ)</w:t>
      </w:r>
    </w:p>
    <w:p>
      <w:pPr>
        <w:pStyle w:val="ListParagraph"/>
        <w:numPr>
          <w:ilvl w:val="0"/>
          <w:numId w:val="7"/>
        </w:numPr>
        <w:spacing w:lineRule="auto" w:line="360"/>
        <w:ind w:left="360" w:right="425" w:hanging="360"/>
        <w:jc w:val="both"/>
        <w:rPr>
          <w:rFonts w:ascii="Times New Roman" w:hAnsi="Times New Roman"/>
        </w:rPr>
      </w:pPr>
      <w:r>
        <w:rPr>
          <w:rFonts w:ascii="Times New Roman" w:hAnsi="Times New Roman"/>
          <w:iCs/>
          <w:sz w:val="26"/>
          <w:szCs w:val="26"/>
        </w:rPr>
        <w:t>Egypt Turkey Free Trade Agreement</w:t>
      </w:r>
    </w:p>
    <w:p>
      <w:pPr>
        <w:pStyle w:val="ListParagraph"/>
        <w:numPr>
          <w:ilvl w:val="0"/>
          <w:numId w:val="7"/>
        </w:numPr>
        <w:spacing w:lineRule="auto" w:line="360"/>
        <w:ind w:left="360" w:right="425" w:hanging="360"/>
        <w:jc w:val="both"/>
        <w:rPr>
          <w:rFonts w:ascii="Times New Roman" w:hAnsi="Times New Roman"/>
        </w:rPr>
      </w:pPr>
      <w:r>
        <w:rPr>
          <w:rFonts w:ascii="Times New Roman" w:hAnsi="Times New Roman"/>
          <w:iCs/>
          <w:sz w:val="26"/>
          <w:szCs w:val="26"/>
        </w:rPr>
        <w:t>Egypt-MERCOSUR Free Trade Agreement</w:t>
      </w:r>
    </w:p>
    <w:p>
      <w:pPr>
        <w:pStyle w:val="ListParagraph"/>
        <w:spacing w:lineRule="auto" w:line="360"/>
        <w:ind w:left="2160" w:right="425" w:firstLine="720"/>
        <w:jc w:val="right"/>
        <w:rPr>
          <w:rFonts w:ascii="Times New Roman" w:hAnsi="Times New Roman"/>
          <w:i/>
          <w:i/>
          <w:sz w:val="26"/>
          <w:szCs w:val="26"/>
        </w:rPr>
      </w:pPr>
      <w:r>
        <w:rPr>
          <w:rFonts w:ascii="Times New Roman" w:hAnsi="Times New Roman"/>
          <w:i/>
          <w:sz w:val="26"/>
          <w:szCs w:val="26"/>
        </w:rPr>
        <w:t>*Source: Egyptian Ministry of Trade and Industry</w:t>
      </w:r>
    </w:p>
    <w:p>
      <w:pPr>
        <w:pStyle w:val="ListParagraph"/>
        <w:spacing w:lineRule="auto" w:line="360"/>
        <w:ind w:left="0" w:right="425" w:hanging="0"/>
        <w:rPr>
          <w:rFonts w:ascii="Times New Roman" w:hAnsi="Times New Roman"/>
        </w:rPr>
      </w:pPr>
      <w:r>
        <w:rPr>
          <w:rFonts w:ascii="Times New Roman" w:hAnsi="Times New Roman"/>
        </w:rPr>
      </w:r>
    </w:p>
    <w:p>
      <w:pPr>
        <w:pStyle w:val="ListParagraph"/>
        <w:numPr>
          <w:ilvl w:val="0"/>
          <w:numId w:val="15"/>
        </w:numPr>
        <w:rPr>
          <w:rFonts w:ascii="Times New Roman" w:hAnsi="Times New Roman"/>
        </w:rPr>
      </w:pPr>
      <w:r>
        <w:rPr>
          <w:rFonts w:ascii="Times New Roman" w:hAnsi="Times New Roman"/>
          <w:sz w:val="26"/>
          <w:szCs w:val="26"/>
          <w:u w:val="single"/>
          <w:lang w:val="en-GB"/>
        </w:rPr>
        <w:t xml:space="preserve">Bilateral Trade: </w:t>
      </w:r>
      <w:r>
        <w:rPr>
          <w:rFonts w:ascii="Times New Roman" w:hAnsi="Times New Roman"/>
          <w:sz w:val="26"/>
          <w:szCs w:val="26"/>
        </w:rPr>
        <w:t>(Data is available till March 2024 on CAPMAS)</w:t>
      </w:r>
      <w:r>
        <w:rPr>
          <w:rFonts w:ascii="Times New Roman" w:hAnsi="Times New Roman"/>
          <w:sz w:val="26"/>
          <w:szCs w:val="26"/>
          <w:u w:val="single"/>
          <w:lang w:val="en-GB"/>
        </w:rPr>
        <w:br/>
      </w:r>
    </w:p>
    <w:p>
      <w:pPr>
        <w:pStyle w:val="ListParagraph"/>
        <w:numPr>
          <w:ilvl w:val="0"/>
          <w:numId w:val="3"/>
        </w:numPr>
        <w:spacing w:lineRule="auto" w:line="312"/>
        <w:jc w:val="both"/>
        <w:rPr>
          <w:rFonts w:ascii="Times New Roman" w:hAnsi="Times New Roman"/>
          <w:sz w:val="26"/>
          <w:szCs w:val="26"/>
        </w:rPr>
      </w:pPr>
      <w:r>
        <w:rPr>
          <w:rFonts w:ascii="Times New Roman" w:hAnsi="Times New Roman"/>
          <w:sz w:val="26"/>
          <w:szCs w:val="26"/>
        </w:rPr>
        <w:t>Merchandise trade- India’s total merchandise trade with Egypt was US $ 3.420 Bn in (Apr 23 - June</w:t>
      </w:r>
      <w:r>
        <w:rPr>
          <w:rFonts w:ascii="Times New Roman" w:hAnsi="Times New Roman"/>
          <w:b/>
          <w:i/>
          <w:iCs/>
          <w:sz w:val="26"/>
          <w:szCs w:val="26"/>
          <w:lang w:val="en-GB"/>
        </w:rPr>
        <w:t xml:space="preserve"> </w:t>
      </w:r>
      <w:r>
        <w:rPr>
          <w:rFonts w:ascii="Times New Roman" w:hAnsi="Times New Roman"/>
          <w:sz w:val="26"/>
          <w:szCs w:val="26"/>
        </w:rPr>
        <w:t>24). India registered a merchandise trade surplus of US$ 1.516 Billion.</w:t>
      </w:r>
    </w:p>
    <w:tbl>
      <w:tblPr>
        <w:tblW w:w="8712" w:type="dxa"/>
        <w:jc w:val="left"/>
        <w:tblInd w:w="535" w:type="dxa"/>
        <w:tblLayout w:type="fixed"/>
        <w:tblCellMar>
          <w:top w:w="0" w:type="dxa"/>
          <w:left w:w="108" w:type="dxa"/>
          <w:bottom w:w="0" w:type="dxa"/>
          <w:right w:w="108" w:type="dxa"/>
        </w:tblCellMar>
        <w:tblLook w:val="0000" w:noHBand="0" w:noVBand="0" w:firstColumn="0" w:lastRow="0" w:lastColumn="0" w:firstRow="0"/>
      </w:tblPr>
      <w:tblGrid>
        <w:gridCol w:w="918"/>
        <w:gridCol w:w="4883"/>
        <w:gridCol w:w="2911"/>
      </w:tblGrid>
      <w:tr>
        <w:trPr/>
        <w:tc>
          <w:tcPr>
            <w:tcW w:w="918" w:type="dxa"/>
            <w:tcBorders>
              <w:top w:val="single" w:sz="4" w:space="0" w:color="000000"/>
              <w:left w:val="single" w:sz="4" w:space="0" w:color="000000"/>
              <w:bottom w:val="single" w:sz="4" w:space="0" w:color="000000"/>
            </w:tcBorders>
            <w:shd w:color="auto" w:fill="auto" w:val="clear"/>
          </w:tcPr>
          <w:p>
            <w:pPr>
              <w:pStyle w:val="WW-ListParagraph"/>
              <w:widowControl w:val="false"/>
              <w:numPr>
                <w:ilvl w:val="0"/>
                <w:numId w:val="9"/>
              </w:numPr>
              <w:snapToGrid w:val="false"/>
              <w:spacing w:lineRule="auto" w:line="312" w:before="0" w:after="0"/>
              <w:contextualSpacing/>
              <w:jc w:val="both"/>
              <w:rPr>
                <w:rFonts w:ascii="Times New Roman" w:hAnsi="Times New Roman"/>
                <w:sz w:val="26"/>
                <w:szCs w:val="26"/>
              </w:rPr>
            </w:pPr>
            <w:r>
              <w:rPr>
                <w:rFonts w:ascii="Times New Roman" w:hAnsi="Times New Roman"/>
                <w:sz w:val="26"/>
                <w:szCs w:val="26"/>
              </w:rPr>
            </w:r>
          </w:p>
        </w:tc>
        <w:tc>
          <w:tcPr>
            <w:tcW w:w="4883"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312" w:before="0" w:after="160"/>
              <w:jc w:val="both"/>
              <w:rPr>
                <w:rFonts w:ascii="Times New Roman" w:hAnsi="Times New Roman"/>
              </w:rPr>
            </w:pPr>
            <w:r>
              <w:rPr>
                <w:rFonts w:ascii="Times New Roman" w:hAnsi="Times New Roman"/>
                <w:sz w:val="26"/>
                <w:szCs w:val="26"/>
              </w:rPr>
              <w:t xml:space="preserve">Exports </w:t>
            </w:r>
            <w:r>
              <w:rPr>
                <w:rFonts w:ascii="Times New Roman" w:hAnsi="Times New Roman"/>
                <w:b/>
                <w:i/>
                <w:iCs/>
                <w:sz w:val="26"/>
                <w:szCs w:val="26"/>
                <w:lang w:val="en-GB"/>
              </w:rPr>
              <w:t>(Apr 23 – June 24)</w:t>
            </w:r>
          </w:p>
        </w:tc>
        <w:tc>
          <w:tcPr>
            <w:tcW w:w="29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12" w:before="0" w:after="160"/>
              <w:jc w:val="both"/>
              <w:rPr>
                <w:rFonts w:ascii="Times New Roman" w:hAnsi="Times New Roman"/>
              </w:rPr>
            </w:pPr>
            <w:r>
              <w:rPr>
                <w:rFonts w:ascii="Times New Roman" w:hAnsi="Times New Roman"/>
                <w:kern w:val="2"/>
                <w:sz w:val="26"/>
                <w:szCs w:val="26"/>
                <w:lang w:val="en-GB"/>
              </w:rPr>
              <w:t>US$ 2.5 billion</w:t>
            </w:r>
          </w:p>
        </w:tc>
      </w:tr>
      <w:tr>
        <w:trPr/>
        <w:tc>
          <w:tcPr>
            <w:tcW w:w="918" w:type="dxa"/>
            <w:tcBorders>
              <w:top w:val="single" w:sz="4" w:space="0" w:color="000000"/>
              <w:left w:val="single" w:sz="4" w:space="0" w:color="000000"/>
              <w:bottom w:val="single" w:sz="4" w:space="0" w:color="000000"/>
            </w:tcBorders>
            <w:shd w:color="auto" w:fill="auto" w:val="clear"/>
          </w:tcPr>
          <w:p>
            <w:pPr>
              <w:pStyle w:val="WW-ListParagraph"/>
              <w:widowControl w:val="false"/>
              <w:numPr>
                <w:ilvl w:val="0"/>
                <w:numId w:val="9"/>
              </w:numPr>
              <w:snapToGrid w:val="false"/>
              <w:spacing w:lineRule="auto" w:line="312" w:before="0" w:after="0"/>
              <w:contextualSpacing/>
              <w:jc w:val="both"/>
              <w:rPr>
                <w:rFonts w:ascii="Times New Roman" w:hAnsi="Times New Roman"/>
                <w:sz w:val="26"/>
                <w:szCs w:val="26"/>
              </w:rPr>
            </w:pPr>
            <w:r>
              <w:rPr>
                <w:rFonts w:ascii="Times New Roman" w:hAnsi="Times New Roman"/>
                <w:sz w:val="26"/>
                <w:szCs w:val="26"/>
              </w:rPr>
            </w:r>
          </w:p>
        </w:tc>
        <w:tc>
          <w:tcPr>
            <w:tcW w:w="4883"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312" w:before="0" w:after="160"/>
              <w:jc w:val="both"/>
              <w:rPr>
                <w:rFonts w:ascii="Times New Roman" w:hAnsi="Times New Roman"/>
              </w:rPr>
            </w:pPr>
            <w:r>
              <w:rPr>
                <w:rFonts w:ascii="Times New Roman" w:hAnsi="Times New Roman"/>
                <w:sz w:val="26"/>
                <w:szCs w:val="26"/>
              </w:rPr>
              <w:t xml:space="preserve">Imports </w:t>
            </w:r>
            <w:r>
              <w:rPr>
                <w:rFonts w:ascii="Times New Roman" w:hAnsi="Times New Roman"/>
                <w:b/>
                <w:i/>
                <w:iCs/>
                <w:sz w:val="26"/>
                <w:szCs w:val="26"/>
                <w:lang w:val="en-GB"/>
              </w:rPr>
              <w:t>(Apr 23 - June 24)</w:t>
            </w:r>
          </w:p>
        </w:tc>
        <w:tc>
          <w:tcPr>
            <w:tcW w:w="29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12" w:before="0" w:after="160"/>
              <w:jc w:val="both"/>
              <w:rPr>
                <w:rFonts w:ascii="Times New Roman" w:hAnsi="Times New Roman"/>
              </w:rPr>
            </w:pPr>
            <w:r>
              <w:rPr>
                <w:rFonts w:ascii="Times New Roman" w:hAnsi="Times New Roman"/>
                <w:kern w:val="2"/>
                <w:sz w:val="26"/>
                <w:szCs w:val="26"/>
                <w:lang w:val="en-GB"/>
              </w:rPr>
              <w:t>US$ 952.3 million</w:t>
            </w:r>
          </w:p>
        </w:tc>
      </w:tr>
      <w:tr>
        <w:trPr/>
        <w:tc>
          <w:tcPr>
            <w:tcW w:w="918" w:type="dxa"/>
            <w:tcBorders>
              <w:top w:val="single" w:sz="4" w:space="0" w:color="000000"/>
              <w:left w:val="single" w:sz="4" w:space="0" w:color="000000"/>
              <w:bottom w:val="single" w:sz="4" w:space="0" w:color="000000"/>
            </w:tcBorders>
            <w:shd w:color="auto" w:fill="auto" w:val="clear"/>
          </w:tcPr>
          <w:p>
            <w:pPr>
              <w:pStyle w:val="WW-ListParagraph"/>
              <w:widowControl w:val="false"/>
              <w:numPr>
                <w:ilvl w:val="0"/>
                <w:numId w:val="9"/>
              </w:numPr>
              <w:snapToGrid w:val="false"/>
              <w:spacing w:lineRule="auto" w:line="312" w:before="0" w:after="0"/>
              <w:contextualSpacing/>
              <w:jc w:val="both"/>
              <w:rPr>
                <w:rFonts w:ascii="Times New Roman" w:hAnsi="Times New Roman"/>
                <w:sz w:val="26"/>
                <w:szCs w:val="26"/>
              </w:rPr>
            </w:pPr>
            <w:r>
              <w:rPr>
                <w:rFonts w:ascii="Times New Roman" w:hAnsi="Times New Roman"/>
                <w:sz w:val="26"/>
                <w:szCs w:val="26"/>
              </w:rPr>
            </w:r>
          </w:p>
        </w:tc>
        <w:tc>
          <w:tcPr>
            <w:tcW w:w="4883"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312" w:before="0" w:after="160"/>
              <w:jc w:val="both"/>
              <w:rPr>
                <w:rFonts w:ascii="Times New Roman" w:hAnsi="Times New Roman"/>
              </w:rPr>
            </w:pPr>
            <w:r>
              <w:rPr>
                <w:rFonts w:ascii="Times New Roman" w:hAnsi="Times New Roman"/>
                <w:sz w:val="26"/>
                <w:szCs w:val="26"/>
              </w:rPr>
              <w:t xml:space="preserve">Trade Surplus </w:t>
            </w:r>
            <w:r>
              <w:rPr>
                <w:rFonts w:ascii="Times New Roman" w:hAnsi="Times New Roman"/>
                <w:b/>
                <w:i/>
                <w:iCs/>
                <w:sz w:val="26"/>
                <w:szCs w:val="26"/>
                <w:lang w:val="en-GB"/>
              </w:rPr>
              <w:t>(Apr 23 - June 24)</w:t>
            </w:r>
          </w:p>
        </w:tc>
        <w:tc>
          <w:tcPr>
            <w:tcW w:w="29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12" w:before="0" w:after="160"/>
              <w:jc w:val="both"/>
              <w:rPr>
                <w:rFonts w:ascii="Times New Roman" w:hAnsi="Times New Roman"/>
              </w:rPr>
            </w:pPr>
            <w:r>
              <w:rPr>
                <w:rFonts w:ascii="Times New Roman" w:hAnsi="Times New Roman"/>
                <w:sz w:val="26"/>
                <w:szCs w:val="26"/>
              </w:rPr>
              <w:t>US$ 1.52 Billion.</w:t>
            </w:r>
          </w:p>
        </w:tc>
      </w:tr>
    </w:tbl>
    <w:p>
      <w:pPr>
        <w:pStyle w:val="Normal"/>
        <w:jc w:val="right"/>
        <w:rPr>
          <w:rFonts w:ascii="Times New Roman" w:hAnsi="Times New Roman"/>
          <w:sz w:val="26"/>
          <w:szCs w:val="26"/>
        </w:rPr>
      </w:pPr>
      <w:r>
        <w:rPr>
          <w:rFonts w:ascii="Times New Roman" w:hAnsi="Times New Roman"/>
          <w:sz w:val="26"/>
          <w:szCs w:val="26"/>
        </w:rPr>
        <w:t>(CAPMAS)</w:t>
      </w:r>
    </w:p>
    <w:p>
      <w:pPr>
        <w:pStyle w:val="Normal"/>
        <w:ind w:firstLine="720"/>
        <w:jc w:val="both"/>
        <w:rPr>
          <w:rFonts w:ascii="Times New Roman" w:hAnsi="Times New Roman"/>
        </w:rPr>
      </w:pPr>
      <w:r>
        <w:rPr>
          <w:rFonts w:ascii="Times New Roman" w:hAnsi="Times New Roman"/>
          <w:sz w:val="26"/>
          <w:szCs w:val="26"/>
        </w:rPr>
        <w:t>Merchandise Trade Data</w:t>
        <w:tab/>
        <w:t xml:space="preserve">     </w:t>
        <w:tab/>
        <w:tab/>
        <w:tab/>
        <w:t xml:space="preserve">                  </w:t>
      </w:r>
      <w:r>
        <w:rPr>
          <w:rFonts w:ascii="Times New Roman" w:hAnsi="Times New Roman"/>
        </w:rPr>
        <w:t>(Value: USD millions)</w:t>
      </w:r>
    </w:p>
    <w:tbl>
      <w:tblPr>
        <w:tblW w:w="8561" w:type="dxa"/>
        <w:jc w:val="left"/>
        <w:tblInd w:w="699" w:type="dxa"/>
        <w:tblLayout w:type="fixed"/>
        <w:tblCellMar>
          <w:top w:w="0" w:type="dxa"/>
          <w:left w:w="108" w:type="dxa"/>
          <w:bottom w:w="0" w:type="dxa"/>
          <w:right w:w="108" w:type="dxa"/>
        </w:tblCellMar>
        <w:tblLook w:val="0000" w:noHBand="0" w:noVBand="0" w:firstColumn="0" w:lastRow="0" w:lastColumn="0" w:firstRow="0"/>
      </w:tblPr>
      <w:tblGrid>
        <w:gridCol w:w="1112"/>
        <w:gridCol w:w="1261"/>
        <w:gridCol w:w="1172"/>
        <w:gridCol w:w="1261"/>
        <w:gridCol w:w="1262"/>
        <w:gridCol w:w="1136"/>
        <w:gridCol w:w="1356"/>
      </w:tblGrid>
      <w:tr>
        <w:trPr>
          <w:trHeight w:val="476" w:hRule="atLeast"/>
          <w:cantSplit w:val="true"/>
        </w:trPr>
        <w:tc>
          <w:tcPr>
            <w:tcW w:w="1112" w:type="dxa"/>
            <w:vMerge w:val="restart"/>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sz w:val="26"/>
                <w:szCs w:val="26"/>
                <w:lang w:bidi="hi-IN"/>
              </w:rPr>
              <w:t>Year</w:t>
            </w:r>
          </w:p>
        </w:tc>
        <w:tc>
          <w:tcPr>
            <w:tcW w:w="1261" w:type="dxa"/>
            <w:vMerge w:val="restart"/>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sz w:val="26"/>
                <w:szCs w:val="26"/>
                <w:lang w:bidi="hi-IN"/>
              </w:rPr>
              <w:t>Exports</w:t>
            </w:r>
          </w:p>
        </w:tc>
        <w:tc>
          <w:tcPr>
            <w:tcW w:w="1172" w:type="dxa"/>
            <w:vMerge w:val="restart"/>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sz w:val="26"/>
                <w:szCs w:val="26"/>
                <w:lang w:bidi="hi-IN"/>
              </w:rPr>
              <w:t>Imports</w:t>
            </w:r>
          </w:p>
        </w:tc>
        <w:tc>
          <w:tcPr>
            <w:tcW w:w="1261" w:type="dxa"/>
            <w:vMerge w:val="restart"/>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sz w:val="26"/>
                <w:szCs w:val="26"/>
                <w:lang w:bidi="hi-IN"/>
              </w:rPr>
              <w:t>Total Trade</w:t>
            </w:r>
          </w:p>
        </w:tc>
        <w:tc>
          <w:tcPr>
            <w:tcW w:w="1262" w:type="dxa"/>
            <w:vMerge w:val="restart"/>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sz w:val="26"/>
                <w:szCs w:val="26"/>
                <w:lang w:bidi="hi-IN"/>
              </w:rPr>
              <w:t>Trade Balance</w:t>
            </w:r>
          </w:p>
        </w:tc>
        <w:tc>
          <w:tcPr>
            <w:tcW w:w="2492"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sz w:val="26"/>
                <w:szCs w:val="26"/>
                <w:lang w:bidi="hi-IN"/>
              </w:rPr>
              <w:t>%Growth</w:t>
            </w:r>
          </w:p>
        </w:tc>
      </w:tr>
      <w:tr>
        <w:trPr>
          <w:trHeight w:val="124" w:hRule="atLeast"/>
          <w:cantSplit w:val="true"/>
        </w:trPr>
        <w:tc>
          <w:tcPr>
            <w:tcW w:w="1112" w:type="dxa"/>
            <w:vMerge w:val="continue"/>
            <w:tcBorders>
              <w:top w:val="single" w:sz="4" w:space="0" w:color="000000"/>
              <w:left w:val="single" w:sz="4" w:space="0" w:color="000000"/>
              <w:bottom w:val="single" w:sz="4" w:space="0" w:color="000000"/>
            </w:tcBorders>
            <w:shd w:color="auto" w:fill="auto" w:val="clear"/>
            <w:vAlign w:val="center"/>
          </w:tcPr>
          <w:p>
            <w:pPr>
              <w:pStyle w:val="Normal"/>
              <w:widowControl w:val="false"/>
              <w:snapToGrid w:val="false"/>
              <w:spacing w:lineRule="auto" w:line="240" w:before="0" w:after="0"/>
              <w:rPr>
                <w:rFonts w:ascii="Times New Roman" w:hAnsi="Times New Roman"/>
                <w:sz w:val="26"/>
                <w:szCs w:val="26"/>
                <w:lang w:bidi="hi-IN"/>
              </w:rPr>
            </w:pPr>
            <w:r>
              <w:rPr>
                <w:rFonts w:ascii="Times New Roman" w:hAnsi="Times New Roman"/>
                <w:sz w:val="26"/>
                <w:szCs w:val="26"/>
                <w:lang w:bidi="hi-IN"/>
              </w:rPr>
            </w:r>
          </w:p>
        </w:tc>
        <w:tc>
          <w:tcPr>
            <w:tcW w:w="1261" w:type="dxa"/>
            <w:vMerge w:val="continue"/>
            <w:tcBorders>
              <w:top w:val="single" w:sz="4" w:space="0" w:color="000000"/>
              <w:left w:val="single" w:sz="4" w:space="0" w:color="000000"/>
              <w:bottom w:val="single" w:sz="4" w:space="0" w:color="000000"/>
            </w:tcBorders>
            <w:shd w:color="auto" w:fill="auto" w:val="clear"/>
            <w:vAlign w:val="center"/>
          </w:tcPr>
          <w:p>
            <w:pPr>
              <w:pStyle w:val="Normal"/>
              <w:widowControl w:val="false"/>
              <w:snapToGrid w:val="false"/>
              <w:spacing w:lineRule="auto" w:line="240" w:before="0" w:after="0"/>
              <w:rPr>
                <w:rFonts w:ascii="Times New Roman" w:hAnsi="Times New Roman"/>
                <w:sz w:val="26"/>
                <w:szCs w:val="26"/>
                <w:lang w:bidi="hi-IN"/>
              </w:rPr>
            </w:pPr>
            <w:r>
              <w:rPr>
                <w:rFonts w:ascii="Times New Roman" w:hAnsi="Times New Roman"/>
                <w:sz w:val="26"/>
                <w:szCs w:val="26"/>
                <w:lang w:bidi="hi-IN"/>
              </w:rPr>
            </w:r>
          </w:p>
        </w:tc>
        <w:tc>
          <w:tcPr>
            <w:tcW w:w="1172" w:type="dxa"/>
            <w:vMerge w:val="continue"/>
            <w:tcBorders>
              <w:top w:val="single" w:sz="4" w:space="0" w:color="000000"/>
              <w:left w:val="single" w:sz="4" w:space="0" w:color="000000"/>
              <w:bottom w:val="single" w:sz="4" w:space="0" w:color="000000"/>
            </w:tcBorders>
            <w:shd w:color="auto" w:fill="auto" w:val="clear"/>
            <w:vAlign w:val="center"/>
          </w:tcPr>
          <w:p>
            <w:pPr>
              <w:pStyle w:val="Normal"/>
              <w:widowControl w:val="false"/>
              <w:snapToGrid w:val="false"/>
              <w:spacing w:lineRule="auto" w:line="240" w:before="0" w:after="0"/>
              <w:rPr>
                <w:rFonts w:ascii="Times New Roman" w:hAnsi="Times New Roman"/>
                <w:sz w:val="26"/>
                <w:szCs w:val="26"/>
                <w:lang w:bidi="hi-IN"/>
              </w:rPr>
            </w:pPr>
            <w:r>
              <w:rPr>
                <w:rFonts w:ascii="Times New Roman" w:hAnsi="Times New Roman"/>
                <w:sz w:val="26"/>
                <w:szCs w:val="26"/>
                <w:lang w:bidi="hi-IN"/>
              </w:rPr>
            </w:r>
          </w:p>
        </w:tc>
        <w:tc>
          <w:tcPr>
            <w:tcW w:w="1261" w:type="dxa"/>
            <w:vMerge w:val="continue"/>
            <w:tcBorders>
              <w:top w:val="single" w:sz="4" w:space="0" w:color="000000"/>
              <w:left w:val="single" w:sz="4" w:space="0" w:color="000000"/>
              <w:bottom w:val="single" w:sz="4" w:space="0" w:color="000000"/>
            </w:tcBorders>
            <w:shd w:color="auto" w:fill="auto" w:val="clear"/>
            <w:vAlign w:val="center"/>
          </w:tcPr>
          <w:p>
            <w:pPr>
              <w:pStyle w:val="Normal"/>
              <w:widowControl w:val="false"/>
              <w:snapToGrid w:val="false"/>
              <w:spacing w:lineRule="auto" w:line="240" w:before="0" w:after="0"/>
              <w:rPr>
                <w:rFonts w:ascii="Times New Roman" w:hAnsi="Times New Roman"/>
                <w:sz w:val="26"/>
                <w:szCs w:val="26"/>
                <w:lang w:bidi="hi-IN"/>
              </w:rPr>
            </w:pPr>
            <w:r>
              <w:rPr>
                <w:rFonts w:ascii="Times New Roman" w:hAnsi="Times New Roman"/>
                <w:sz w:val="26"/>
                <w:szCs w:val="26"/>
                <w:lang w:bidi="hi-IN"/>
              </w:rPr>
            </w:r>
          </w:p>
        </w:tc>
        <w:tc>
          <w:tcPr>
            <w:tcW w:w="1262" w:type="dxa"/>
            <w:vMerge w:val="continue"/>
            <w:tcBorders>
              <w:top w:val="single" w:sz="4" w:space="0" w:color="000000"/>
              <w:left w:val="single" w:sz="4" w:space="0" w:color="000000"/>
              <w:bottom w:val="single" w:sz="4" w:space="0" w:color="000000"/>
            </w:tcBorders>
            <w:shd w:color="auto" w:fill="auto" w:val="clear"/>
            <w:vAlign w:val="center"/>
          </w:tcPr>
          <w:p>
            <w:pPr>
              <w:pStyle w:val="Normal"/>
              <w:widowControl w:val="false"/>
              <w:snapToGrid w:val="false"/>
              <w:spacing w:lineRule="auto" w:line="240" w:before="0" w:after="0"/>
              <w:rPr>
                <w:rFonts w:ascii="Times New Roman" w:hAnsi="Times New Roman"/>
                <w:sz w:val="26"/>
                <w:szCs w:val="26"/>
                <w:lang w:bidi="hi-IN"/>
              </w:rPr>
            </w:pPr>
            <w:r>
              <w:rPr>
                <w:rFonts w:ascii="Times New Roman" w:hAnsi="Times New Roman"/>
                <w:sz w:val="26"/>
                <w:szCs w:val="26"/>
                <w:lang w:bidi="hi-IN"/>
              </w:rPr>
            </w:r>
          </w:p>
        </w:tc>
        <w:tc>
          <w:tcPr>
            <w:tcW w:w="1136"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sz w:val="26"/>
                <w:szCs w:val="26"/>
                <w:lang w:bidi="hi-IN"/>
              </w:rPr>
              <w:t>Exports</w:t>
            </w:r>
          </w:p>
        </w:tc>
        <w:tc>
          <w:tcPr>
            <w:tcW w:w="13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sz w:val="26"/>
                <w:szCs w:val="26"/>
                <w:lang w:bidi="hi-IN"/>
              </w:rPr>
              <w:t>Imports</w:t>
            </w:r>
          </w:p>
        </w:tc>
      </w:tr>
      <w:tr>
        <w:trPr>
          <w:trHeight w:val="476" w:hRule="atLeast"/>
        </w:trPr>
        <w:tc>
          <w:tcPr>
            <w:tcW w:w="1112" w:type="dxa"/>
            <w:tcBorders>
              <w:top w:val="single" w:sz="4" w:space="0" w:color="000000"/>
              <w:left w:val="single" w:sz="4" w:space="0" w:color="000000"/>
              <w:bottom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sz w:val="26"/>
                <w:szCs w:val="26"/>
                <w:lang w:bidi="hi-IN"/>
              </w:rPr>
              <w:t>2018-19</w:t>
            </w:r>
          </w:p>
        </w:tc>
        <w:tc>
          <w:tcPr>
            <w:tcW w:w="1261"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sz w:val="26"/>
                <w:szCs w:val="26"/>
                <w:lang w:bidi="hi-IN"/>
              </w:rPr>
              <w:t>2,886</w:t>
            </w:r>
          </w:p>
        </w:tc>
        <w:tc>
          <w:tcPr>
            <w:tcW w:w="1172"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sz w:val="26"/>
                <w:szCs w:val="26"/>
                <w:lang w:bidi="hi-IN"/>
              </w:rPr>
              <w:t>1,677</w:t>
            </w:r>
          </w:p>
        </w:tc>
        <w:tc>
          <w:tcPr>
            <w:tcW w:w="1261"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sz w:val="26"/>
                <w:szCs w:val="26"/>
                <w:lang w:bidi="hi-IN"/>
              </w:rPr>
              <w:t>4,564</w:t>
            </w:r>
          </w:p>
        </w:tc>
        <w:tc>
          <w:tcPr>
            <w:tcW w:w="1262"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sz w:val="26"/>
                <w:szCs w:val="26"/>
                <w:lang w:bidi="hi-IN"/>
              </w:rPr>
              <w:t>1,208</w:t>
            </w:r>
          </w:p>
        </w:tc>
        <w:tc>
          <w:tcPr>
            <w:tcW w:w="1136"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sz w:val="26"/>
                <w:szCs w:val="26"/>
                <w:lang w:bidi="hi-IN"/>
              </w:rPr>
              <w:t>20.65</w:t>
            </w:r>
          </w:p>
        </w:tc>
        <w:tc>
          <w:tcPr>
            <w:tcW w:w="13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sz w:val="26"/>
                <w:szCs w:val="26"/>
                <w:lang w:bidi="hi-IN"/>
              </w:rPr>
              <w:t>29.77</w:t>
            </w:r>
          </w:p>
        </w:tc>
      </w:tr>
      <w:tr>
        <w:trPr>
          <w:trHeight w:val="476" w:hRule="atLeast"/>
        </w:trPr>
        <w:tc>
          <w:tcPr>
            <w:tcW w:w="1112" w:type="dxa"/>
            <w:tcBorders>
              <w:top w:val="single" w:sz="4" w:space="0" w:color="000000"/>
              <w:left w:val="single" w:sz="4" w:space="0" w:color="000000"/>
              <w:bottom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sz w:val="26"/>
                <w:szCs w:val="26"/>
                <w:lang w:bidi="hi-IN"/>
              </w:rPr>
              <w:t>2019-20</w:t>
            </w:r>
          </w:p>
        </w:tc>
        <w:tc>
          <w:tcPr>
            <w:tcW w:w="1261"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sz w:val="26"/>
                <w:szCs w:val="26"/>
                <w:lang w:bidi="hi-IN"/>
              </w:rPr>
              <w:t>2,504</w:t>
              <w:tab/>
            </w:r>
          </w:p>
        </w:tc>
        <w:tc>
          <w:tcPr>
            <w:tcW w:w="1172"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sz w:val="26"/>
                <w:szCs w:val="26"/>
                <w:lang w:bidi="hi-IN"/>
              </w:rPr>
              <w:t>2,031</w:t>
            </w:r>
          </w:p>
        </w:tc>
        <w:tc>
          <w:tcPr>
            <w:tcW w:w="1261"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sz w:val="26"/>
                <w:szCs w:val="26"/>
                <w:lang w:bidi="hi-IN"/>
              </w:rPr>
              <w:t>4,535</w:t>
            </w:r>
          </w:p>
        </w:tc>
        <w:tc>
          <w:tcPr>
            <w:tcW w:w="1262"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sz w:val="26"/>
                <w:szCs w:val="26"/>
                <w:lang w:bidi="hi-IN"/>
              </w:rPr>
              <w:t>472</w:t>
            </w:r>
          </w:p>
        </w:tc>
        <w:tc>
          <w:tcPr>
            <w:tcW w:w="1136"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sz w:val="26"/>
                <w:szCs w:val="26"/>
                <w:lang w:bidi="hi-IN"/>
              </w:rPr>
              <w:t>-13.24</w:t>
            </w:r>
          </w:p>
        </w:tc>
        <w:tc>
          <w:tcPr>
            <w:tcW w:w="13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sz w:val="26"/>
                <w:szCs w:val="26"/>
                <w:lang w:bidi="hi-IN"/>
              </w:rPr>
              <w:t>21.07</w:t>
            </w:r>
          </w:p>
        </w:tc>
      </w:tr>
      <w:tr>
        <w:trPr>
          <w:trHeight w:val="476" w:hRule="atLeast"/>
        </w:trPr>
        <w:tc>
          <w:tcPr>
            <w:tcW w:w="1112" w:type="dxa"/>
            <w:tcBorders>
              <w:top w:val="single" w:sz="4" w:space="0" w:color="000000"/>
              <w:left w:val="single" w:sz="4" w:space="0" w:color="000000"/>
              <w:bottom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sz w:val="26"/>
                <w:szCs w:val="26"/>
                <w:lang w:bidi="hi-IN"/>
              </w:rPr>
              <w:t>2020-21</w:t>
            </w:r>
          </w:p>
          <w:p>
            <w:pPr>
              <w:pStyle w:val="Normal"/>
              <w:widowControl w:val="false"/>
              <w:spacing w:lineRule="auto" w:line="240" w:before="0" w:after="0"/>
              <w:jc w:val="center"/>
              <w:rPr>
                <w:rFonts w:ascii="Times New Roman" w:hAnsi="Times New Roman"/>
                <w:sz w:val="26"/>
                <w:szCs w:val="26"/>
                <w:lang w:bidi="hi-IN"/>
              </w:rPr>
            </w:pPr>
            <w:r>
              <w:rPr>
                <w:rFonts w:ascii="Times New Roman" w:hAnsi="Times New Roman"/>
                <w:sz w:val="26"/>
                <w:szCs w:val="26"/>
                <w:lang w:bidi="hi-IN"/>
              </w:rPr>
            </w:r>
          </w:p>
        </w:tc>
        <w:tc>
          <w:tcPr>
            <w:tcW w:w="1261"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sz w:val="26"/>
                <w:szCs w:val="26"/>
                <w:lang w:bidi="hi-IN"/>
              </w:rPr>
              <w:t>2,264</w:t>
            </w:r>
          </w:p>
        </w:tc>
        <w:tc>
          <w:tcPr>
            <w:tcW w:w="1172"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sz w:val="26"/>
                <w:szCs w:val="26"/>
                <w:lang w:bidi="hi-IN"/>
              </w:rPr>
              <w:t>1,892</w:t>
              <w:tab/>
            </w:r>
          </w:p>
        </w:tc>
        <w:tc>
          <w:tcPr>
            <w:tcW w:w="1261"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sz w:val="26"/>
                <w:szCs w:val="26"/>
                <w:lang w:bidi="hi-IN"/>
              </w:rPr>
              <w:t>4,156</w:t>
            </w:r>
          </w:p>
        </w:tc>
        <w:tc>
          <w:tcPr>
            <w:tcW w:w="1262"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sz w:val="26"/>
                <w:szCs w:val="26"/>
                <w:lang w:bidi="hi-IN"/>
              </w:rPr>
              <w:t>371</w:t>
            </w:r>
          </w:p>
        </w:tc>
        <w:tc>
          <w:tcPr>
            <w:tcW w:w="1136"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sz w:val="26"/>
                <w:szCs w:val="26"/>
                <w:lang w:bidi="hi-IN"/>
              </w:rPr>
              <w:t>-9.58</w:t>
              <w:tab/>
            </w:r>
          </w:p>
        </w:tc>
        <w:tc>
          <w:tcPr>
            <w:tcW w:w="13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sz w:val="26"/>
                <w:szCs w:val="26"/>
                <w:lang w:bidi="hi-IN"/>
              </w:rPr>
              <w:t>-6.84</w:t>
            </w:r>
          </w:p>
        </w:tc>
      </w:tr>
      <w:tr>
        <w:trPr>
          <w:trHeight w:val="476" w:hRule="atLeast"/>
        </w:trPr>
        <w:tc>
          <w:tcPr>
            <w:tcW w:w="1112" w:type="dxa"/>
            <w:tcBorders>
              <w:top w:val="single" w:sz="4" w:space="0" w:color="000000"/>
              <w:left w:val="single" w:sz="4" w:space="0" w:color="000000"/>
              <w:bottom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sz w:val="26"/>
                <w:szCs w:val="26"/>
                <w:lang w:bidi="hi-IN"/>
              </w:rPr>
              <w:t>2021-22</w:t>
            </w:r>
          </w:p>
        </w:tc>
        <w:tc>
          <w:tcPr>
            <w:tcW w:w="1261"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sz w:val="26"/>
                <w:szCs w:val="26"/>
                <w:lang w:bidi="hi-IN"/>
              </w:rPr>
              <w:t>3740</w:t>
            </w:r>
          </w:p>
          <w:p>
            <w:pPr>
              <w:pStyle w:val="Normal"/>
              <w:widowControl w:val="false"/>
              <w:spacing w:lineRule="auto" w:line="240" w:before="0" w:after="0"/>
              <w:rPr>
                <w:rFonts w:ascii="Times New Roman" w:hAnsi="Times New Roman"/>
                <w:sz w:val="26"/>
                <w:szCs w:val="26"/>
                <w:lang w:bidi="hi-IN"/>
              </w:rPr>
            </w:pPr>
            <w:r>
              <w:rPr>
                <w:rFonts w:ascii="Times New Roman" w:hAnsi="Times New Roman"/>
                <w:sz w:val="26"/>
                <w:szCs w:val="26"/>
                <w:lang w:bidi="hi-IN"/>
              </w:rPr>
            </w:r>
          </w:p>
        </w:tc>
        <w:tc>
          <w:tcPr>
            <w:tcW w:w="1172"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sz w:val="26"/>
                <w:szCs w:val="26"/>
                <w:lang w:bidi="hi-IN"/>
              </w:rPr>
              <w:t>3520</w:t>
            </w:r>
          </w:p>
          <w:p>
            <w:pPr>
              <w:pStyle w:val="Normal"/>
              <w:widowControl w:val="false"/>
              <w:spacing w:lineRule="auto" w:line="240" w:before="0" w:after="0"/>
              <w:rPr>
                <w:rFonts w:ascii="Times New Roman" w:hAnsi="Times New Roman"/>
                <w:sz w:val="26"/>
                <w:szCs w:val="26"/>
                <w:lang w:bidi="hi-IN"/>
              </w:rPr>
            </w:pPr>
            <w:r>
              <w:rPr>
                <w:rFonts w:ascii="Times New Roman" w:hAnsi="Times New Roman"/>
                <w:sz w:val="26"/>
                <w:szCs w:val="26"/>
                <w:lang w:bidi="hi-IN"/>
              </w:rPr>
            </w:r>
          </w:p>
          <w:p>
            <w:pPr>
              <w:pStyle w:val="Normal"/>
              <w:widowControl w:val="false"/>
              <w:spacing w:lineRule="auto" w:line="240" w:before="0" w:after="0"/>
              <w:rPr>
                <w:rFonts w:ascii="Times New Roman" w:hAnsi="Times New Roman"/>
                <w:sz w:val="26"/>
                <w:szCs w:val="26"/>
                <w:lang w:bidi="hi-IN"/>
              </w:rPr>
            </w:pPr>
            <w:r>
              <w:rPr>
                <w:rFonts w:ascii="Times New Roman" w:hAnsi="Times New Roman"/>
                <w:sz w:val="26"/>
                <w:szCs w:val="26"/>
                <w:lang w:bidi="hi-IN"/>
              </w:rPr>
            </w:r>
          </w:p>
        </w:tc>
        <w:tc>
          <w:tcPr>
            <w:tcW w:w="1261"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sz w:val="26"/>
                <w:szCs w:val="26"/>
                <w:lang w:bidi="hi-IN"/>
              </w:rPr>
              <w:t>7260</w:t>
            </w:r>
          </w:p>
        </w:tc>
        <w:tc>
          <w:tcPr>
            <w:tcW w:w="1262"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sz w:val="26"/>
                <w:szCs w:val="26"/>
                <w:lang w:bidi="hi-IN"/>
              </w:rPr>
              <w:t>220</w:t>
            </w:r>
          </w:p>
        </w:tc>
        <w:tc>
          <w:tcPr>
            <w:tcW w:w="1136"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sz w:val="26"/>
                <w:szCs w:val="26"/>
                <w:lang w:bidi="hi-IN"/>
              </w:rPr>
              <w:t>65%</w:t>
            </w:r>
          </w:p>
          <w:p>
            <w:pPr>
              <w:pStyle w:val="Normal"/>
              <w:widowControl w:val="false"/>
              <w:spacing w:lineRule="auto" w:line="240" w:before="0" w:after="0"/>
              <w:rPr>
                <w:rFonts w:ascii="Times New Roman" w:hAnsi="Times New Roman"/>
              </w:rPr>
            </w:pPr>
            <w:r>
              <w:rPr>
                <w:rFonts w:ascii="Times New Roman" w:hAnsi="Times New Roman"/>
                <w:sz w:val="26"/>
                <w:szCs w:val="26"/>
                <w:lang w:bidi="hi-IN"/>
              </w:rPr>
              <w:t>(YoY)</w:t>
            </w:r>
          </w:p>
        </w:tc>
        <w:tc>
          <w:tcPr>
            <w:tcW w:w="13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sz w:val="26"/>
                <w:szCs w:val="26"/>
                <w:lang w:bidi="ar-EG"/>
              </w:rPr>
              <w:t>92%</w:t>
            </w:r>
          </w:p>
          <w:p>
            <w:pPr>
              <w:pStyle w:val="Normal"/>
              <w:widowControl w:val="false"/>
              <w:spacing w:lineRule="auto" w:line="240" w:before="0" w:after="0"/>
              <w:rPr>
                <w:rFonts w:ascii="Times New Roman" w:hAnsi="Times New Roman"/>
              </w:rPr>
            </w:pPr>
            <w:r>
              <w:rPr>
                <w:rFonts w:ascii="Times New Roman" w:hAnsi="Times New Roman"/>
                <w:sz w:val="26"/>
                <w:szCs w:val="26"/>
                <w:lang w:bidi="hi-IN"/>
              </w:rPr>
              <w:t>(YoY)</w:t>
            </w:r>
          </w:p>
        </w:tc>
      </w:tr>
      <w:tr>
        <w:trPr>
          <w:trHeight w:val="440" w:hRule="atLeast"/>
        </w:trPr>
        <w:tc>
          <w:tcPr>
            <w:tcW w:w="8560" w:type="dxa"/>
            <w:gridSpan w:val="7"/>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right"/>
              <w:rPr>
                <w:rFonts w:ascii="Times New Roman" w:hAnsi="Times New Roman"/>
              </w:rPr>
            </w:pPr>
            <w:r>
              <w:rPr>
                <w:rFonts w:eastAsia="Times New Roman" w:ascii="Times New Roman" w:hAnsi="Times New Roman"/>
                <w:sz w:val="26"/>
                <w:szCs w:val="26"/>
                <w:lang w:eastAsia="en-IN" w:bidi="hi-IN"/>
              </w:rPr>
              <w:t>Source: DGCIS</w:t>
            </w:r>
          </w:p>
        </w:tc>
      </w:tr>
    </w:tbl>
    <w:p>
      <w:pPr>
        <w:pStyle w:val="Normal"/>
        <w:jc w:val="both"/>
        <w:rPr>
          <w:rFonts w:ascii="Times New Roman" w:hAnsi="Times New Roman"/>
          <w:sz w:val="26"/>
          <w:szCs w:val="26"/>
        </w:rPr>
      </w:pPr>
      <w:r>
        <w:rPr>
          <w:rFonts w:ascii="Times New Roman" w:hAnsi="Times New Roman"/>
          <w:sz w:val="26"/>
          <w:szCs w:val="26"/>
        </w:rPr>
      </w:r>
    </w:p>
    <w:p>
      <w:pPr>
        <w:pStyle w:val="Normal"/>
        <w:jc w:val="both"/>
        <w:rPr>
          <w:rFonts w:ascii="Times New Roman" w:hAnsi="Times New Roman"/>
          <w:sz w:val="26"/>
          <w:szCs w:val="26"/>
        </w:rPr>
      </w:pPr>
      <w:r>
        <w:rPr>
          <w:rFonts w:ascii="Times New Roman" w:hAnsi="Times New Roman"/>
          <w:sz w:val="26"/>
          <w:szCs w:val="26"/>
        </w:rPr>
      </w:r>
    </w:p>
    <w:p>
      <w:pPr>
        <w:pStyle w:val="Normal"/>
        <w:jc w:val="both"/>
        <w:rPr>
          <w:rFonts w:ascii="Times New Roman" w:hAnsi="Times New Roman"/>
          <w:sz w:val="26"/>
          <w:szCs w:val="26"/>
        </w:rPr>
      </w:pPr>
      <w:r>
        <w:rPr>
          <w:rFonts w:ascii="Times New Roman" w:hAnsi="Times New Roman"/>
          <w:sz w:val="26"/>
          <w:szCs w:val="26"/>
        </w:rPr>
      </w:r>
    </w:p>
    <w:p>
      <w:pPr>
        <w:pStyle w:val="Normal"/>
        <w:jc w:val="both"/>
        <w:rPr>
          <w:rFonts w:ascii="Times New Roman" w:hAnsi="Times New Roman"/>
          <w:sz w:val="26"/>
          <w:szCs w:val="26"/>
        </w:rPr>
      </w:pPr>
      <w:r>
        <w:rPr>
          <w:rFonts w:ascii="Times New Roman" w:hAnsi="Times New Roman"/>
          <w:sz w:val="26"/>
          <w:szCs w:val="26"/>
        </w:rPr>
      </w:r>
    </w:p>
    <w:p>
      <w:pPr>
        <w:pStyle w:val="Normal"/>
        <w:jc w:val="both"/>
        <w:rPr>
          <w:rFonts w:ascii="Times New Roman" w:hAnsi="Times New Roman"/>
          <w:sz w:val="26"/>
          <w:szCs w:val="26"/>
        </w:rPr>
      </w:pPr>
      <w:r>
        <w:rPr>
          <w:rFonts w:ascii="Times New Roman" w:hAnsi="Times New Roman"/>
          <w:sz w:val="26"/>
          <w:szCs w:val="26"/>
        </w:rPr>
      </w:r>
    </w:p>
    <w:p>
      <w:pPr>
        <w:pStyle w:val="Normal"/>
        <w:jc w:val="both"/>
        <w:rPr>
          <w:rFonts w:ascii="Times New Roman" w:hAnsi="Times New Roman"/>
          <w:sz w:val="26"/>
          <w:szCs w:val="26"/>
        </w:rPr>
      </w:pPr>
      <w:r>
        <w:rPr>
          <w:rFonts w:ascii="Times New Roman" w:hAnsi="Times New Roman"/>
          <w:sz w:val="26"/>
          <w:szCs w:val="26"/>
        </w:rPr>
      </w:r>
    </w:p>
    <w:p>
      <w:pPr>
        <w:pStyle w:val="ListParagraph"/>
        <w:numPr>
          <w:ilvl w:val="0"/>
          <w:numId w:val="14"/>
        </w:numPr>
        <w:jc w:val="both"/>
        <w:rPr>
          <w:rFonts w:ascii="Times New Roman" w:hAnsi="Times New Roman"/>
          <w:sz w:val="26"/>
          <w:szCs w:val="26"/>
        </w:rPr>
      </w:pPr>
      <w:r>
        <w:rPr>
          <w:rFonts w:ascii="Times New Roman" w:hAnsi="Times New Roman"/>
          <w:sz w:val="26"/>
          <w:szCs w:val="26"/>
        </w:rPr>
        <w:t xml:space="preserve">Top 5 Principal commodities of exports </w:t>
      </w:r>
      <w:r>
        <w:rPr>
          <w:rFonts w:ascii="Times New Roman" w:hAnsi="Times New Roman"/>
          <w:b/>
          <w:bCs/>
          <w:i/>
          <w:iCs/>
          <w:sz w:val="26"/>
          <w:szCs w:val="26"/>
          <w:lang w:val="en-GB"/>
        </w:rPr>
        <w:t>(</w:t>
      </w:r>
      <w:r>
        <w:rPr>
          <w:rFonts w:ascii="Times New Roman" w:hAnsi="Times New Roman"/>
          <w:sz w:val="26"/>
          <w:szCs w:val="26"/>
        </w:rPr>
        <w:t xml:space="preserve">Apr 23 – </w:t>
      </w:r>
      <w:r>
        <w:rPr>
          <w:rFonts w:ascii="Times New Roman" w:hAnsi="Times New Roman"/>
          <w:sz w:val="26"/>
          <w:szCs w:val="26"/>
          <w:lang w:bidi="hi-IN"/>
        </w:rPr>
        <w:t>June</w:t>
      </w:r>
      <w:r>
        <w:rPr>
          <w:rFonts w:ascii="Times New Roman" w:hAnsi="Times New Roman"/>
          <w:b/>
          <w:i/>
          <w:iCs/>
          <w:sz w:val="26"/>
          <w:szCs w:val="26"/>
          <w:lang w:val="en-GB"/>
        </w:rPr>
        <w:t xml:space="preserve"> </w:t>
      </w:r>
      <w:r>
        <w:rPr>
          <w:rFonts w:ascii="Times New Roman" w:hAnsi="Times New Roman"/>
          <w:sz w:val="26"/>
          <w:szCs w:val="26"/>
        </w:rPr>
        <w:t>24</w:t>
      </w:r>
      <w:r>
        <w:rPr>
          <w:rFonts w:ascii="Times New Roman" w:hAnsi="Times New Roman"/>
          <w:b/>
          <w:bCs/>
          <w:i/>
          <w:iCs/>
          <w:sz w:val="26"/>
          <w:szCs w:val="26"/>
          <w:lang w:val="en-GB"/>
        </w:rPr>
        <w:t>)</w:t>
      </w:r>
      <w:r>
        <w:rPr>
          <w:rFonts w:ascii="Times New Roman" w:hAnsi="Times New Roman"/>
          <w:sz w:val="26"/>
          <w:szCs w:val="26"/>
        </w:rPr>
        <w:t xml:space="preserve"> (Data is available till March 2024 on CAPMAS)</w:t>
      </w:r>
    </w:p>
    <w:p>
      <w:pPr>
        <w:pStyle w:val="ListParagraph"/>
        <w:ind w:left="540" w:hanging="0"/>
        <w:jc w:val="both"/>
        <w:rPr>
          <w:rFonts w:ascii="Times New Roman" w:hAnsi="Times New Roman"/>
          <w:sz w:val="26"/>
          <w:szCs w:val="26"/>
        </w:rPr>
      </w:pPr>
      <w:r>
        <w:rPr>
          <w:rFonts w:ascii="Times New Roman" w:hAnsi="Times New Roman"/>
          <w:sz w:val="26"/>
          <w:szCs w:val="26"/>
        </w:rPr>
        <w:t>Petroleum Products, Meat, Ferro-Alloys and rice.</w:t>
      </w:r>
    </w:p>
    <w:tbl>
      <w:tblPr>
        <w:tblW w:w="9923" w:type="dxa"/>
        <w:jc w:val="left"/>
        <w:tblInd w:w="-5" w:type="dxa"/>
        <w:tblLayout w:type="fixed"/>
        <w:tblCellMar>
          <w:top w:w="0" w:type="dxa"/>
          <w:left w:w="108" w:type="dxa"/>
          <w:bottom w:w="0" w:type="dxa"/>
          <w:right w:w="108" w:type="dxa"/>
        </w:tblCellMar>
        <w:tblLook w:val="0000" w:noHBand="0" w:noVBand="0" w:firstColumn="0" w:lastRow="0" w:lastColumn="0" w:firstRow="0"/>
      </w:tblPr>
      <w:tblGrid>
        <w:gridCol w:w="1103"/>
        <w:gridCol w:w="5487"/>
        <w:gridCol w:w="3333"/>
      </w:tblGrid>
      <w:tr>
        <w:trPr>
          <w:trHeight w:val="255" w:hRule="atLeast"/>
        </w:trPr>
        <w:tc>
          <w:tcPr>
            <w:tcW w:w="1103" w:type="dxa"/>
            <w:tcBorders>
              <w:top w:val="single" w:sz="4" w:space="0" w:color="000000"/>
              <w:left w:val="single" w:sz="4" w:space="0" w:color="000000"/>
              <w:bottom w:val="single" w:sz="4" w:space="0" w:color="000000"/>
            </w:tcBorders>
            <w:shd w:color="auto" w:fill="auto" w:val="clear"/>
          </w:tcPr>
          <w:p>
            <w:pPr>
              <w:pStyle w:val="Normal"/>
              <w:widowControl w:val="false"/>
              <w:jc w:val="both"/>
              <w:rPr>
                <w:rFonts w:ascii="Times New Roman" w:hAnsi="Times New Roman"/>
              </w:rPr>
            </w:pPr>
            <w:r>
              <w:rPr>
                <w:rFonts w:ascii="Times New Roman" w:hAnsi="Times New Roman"/>
                <w:b/>
                <w:bCs/>
                <w:sz w:val="26"/>
                <w:szCs w:val="26"/>
                <w:lang w:bidi="hi-IN"/>
              </w:rPr>
              <w:t>HS</w:t>
            </w:r>
          </w:p>
          <w:p>
            <w:pPr>
              <w:pStyle w:val="Normal"/>
              <w:widowControl w:val="false"/>
              <w:spacing w:before="0" w:after="160"/>
              <w:jc w:val="both"/>
              <w:rPr>
                <w:rFonts w:ascii="Times New Roman" w:hAnsi="Times New Roman"/>
              </w:rPr>
            </w:pPr>
            <w:r>
              <w:rPr>
                <w:rFonts w:ascii="Times New Roman" w:hAnsi="Times New Roman"/>
                <w:b/>
                <w:bCs/>
                <w:sz w:val="26"/>
                <w:szCs w:val="26"/>
                <w:lang w:bidi="hi-IN"/>
              </w:rPr>
              <w:t>Code</w:t>
            </w:r>
          </w:p>
        </w:tc>
        <w:tc>
          <w:tcPr>
            <w:tcW w:w="5487"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jc w:val="both"/>
              <w:rPr>
                <w:rFonts w:ascii="Times New Roman" w:hAnsi="Times New Roman"/>
              </w:rPr>
            </w:pPr>
            <w:r>
              <w:rPr>
                <w:rFonts w:ascii="Times New Roman" w:hAnsi="Times New Roman"/>
                <w:b/>
                <w:bCs/>
                <w:sz w:val="26"/>
                <w:szCs w:val="26"/>
                <w:lang w:bidi="hi-IN"/>
              </w:rPr>
              <w:t>Commodity</w:t>
            </w:r>
          </w:p>
        </w:tc>
        <w:tc>
          <w:tcPr>
            <w:tcW w:w="333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both"/>
              <w:rPr>
                <w:rFonts w:ascii="Times New Roman" w:hAnsi="Times New Roman"/>
                <w:sz w:val="26"/>
                <w:szCs w:val="26"/>
                <w:lang w:bidi="hi-IN"/>
              </w:rPr>
            </w:pPr>
            <w:r>
              <w:rPr>
                <w:rFonts w:ascii="Times New Roman" w:hAnsi="Times New Roman"/>
                <w:sz w:val="26"/>
                <w:szCs w:val="26"/>
                <w:lang w:bidi="hi-IN"/>
              </w:rPr>
              <w:t>(Apr 23- June</w:t>
            </w:r>
            <w:r>
              <w:rPr>
                <w:rFonts w:ascii="Times New Roman" w:hAnsi="Times New Roman"/>
                <w:b/>
                <w:i/>
                <w:iCs/>
                <w:sz w:val="26"/>
                <w:szCs w:val="26"/>
                <w:lang w:val="en-GB"/>
              </w:rPr>
              <w:t xml:space="preserve"> </w:t>
            </w:r>
            <w:r>
              <w:rPr>
                <w:rFonts w:ascii="Times New Roman" w:hAnsi="Times New Roman"/>
                <w:sz w:val="26"/>
                <w:szCs w:val="26"/>
                <w:lang w:bidi="hi-IN"/>
              </w:rPr>
              <w:t>24)– (US $)</w:t>
            </w:r>
          </w:p>
        </w:tc>
      </w:tr>
      <w:tr>
        <w:trPr>
          <w:trHeight w:val="255" w:hRule="atLeast"/>
        </w:trPr>
        <w:tc>
          <w:tcPr>
            <w:tcW w:w="1103" w:type="dxa"/>
            <w:tcBorders>
              <w:top w:val="single" w:sz="4" w:space="0" w:color="000000"/>
              <w:left w:val="single" w:sz="4" w:space="0" w:color="000000"/>
              <w:bottom w:val="single" w:sz="4" w:space="0" w:color="000000"/>
            </w:tcBorders>
            <w:shd w:color="auto" w:fill="auto" w:val="clear"/>
            <w:vAlign w:val="bottom"/>
          </w:tcPr>
          <w:p>
            <w:pPr>
              <w:pStyle w:val="Normal"/>
              <w:widowControl w:val="false"/>
              <w:spacing w:before="0" w:after="160"/>
              <w:rPr>
                <w:rFonts w:ascii="Times New Roman" w:hAnsi="Times New Roman"/>
                <w:sz w:val="26"/>
                <w:szCs w:val="26"/>
                <w:lang w:bidi="hi-IN"/>
              </w:rPr>
            </w:pPr>
            <w:r>
              <w:rPr>
                <w:rFonts w:ascii="Times New Roman" w:hAnsi="Times New Roman"/>
                <w:sz w:val="26"/>
                <w:szCs w:val="26"/>
                <w:lang w:bidi="hi-IN"/>
              </w:rPr>
              <w:t>2023</w:t>
            </w:r>
          </w:p>
        </w:tc>
        <w:tc>
          <w:tcPr>
            <w:tcW w:w="5487" w:type="dxa"/>
            <w:tcBorders>
              <w:top w:val="single" w:sz="4" w:space="0" w:color="000000"/>
              <w:left w:val="single" w:sz="4" w:space="0" w:color="000000"/>
              <w:bottom w:val="single" w:sz="4" w:space="0" w:color="000000"/>
            </w:tcBorders>
            <w:shd w:color="auto" w:fill="auto" w:val="clear"/>
            <w:vAlign w:val="bottom"/>
          </w:tcPr>
          <w:p>
            <w:pPr>
              <w:pStyle w:val="Normal"/>
              <w:widowControl w:val="false"/>
              <w:spacing w:before="0" w:after="160"/>
              <w:rPr>
                <w:rFonts w:ascii="Times New Roman" w:hAnsi="Times New Roman"/>
                <w:sz w:val="26"/>
                <w:szCs w:val="26"/>
                <w:lang w:bidi="hi-IN"/>
              </w:rPr>
            </w:pPr>
            <w:r>
              <w:rPr>
                <w:rFonts w:ascii="Times New Roman" w:hAnsi="Times New Roman"/>
                <w:sz w:val="26"/>
                <w:szCs w:val="26"/>
                <w:lang w:bidi="hi-IN"/>
              </w:rPr>
              <w:t>Cuts of bov, boneless, frozen</w:t>
            </w:r>
          </w:p>
        </w:tc>
        <w:tc>
          <w:tcPr>
            <w:tcW w:w="333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spacing w:before="0" w:after="160"/>
              <w:rPr>
                <w:rFonts w:ascii="Times New Roman" w:hAnsi="Times New Roman"/>
                <w:sz w:val="26"/>
                <w:szCs w:val="26"/>
                <w:lang w:bidi="hi-IN"/>
              </w:rPr>
            </w:pPr>
            <w:r>
              <w:rPr>
                <w:rFonts w:ascii="Times New Roman" w:hAnsi="Times New Roman"/>
                <w:sz w:val="26"/>
                <w:szCs w:val="26"/>
                <w:lang w:bidi="hi-IN"/>
              </w:rPr>
              <w:t>541,056,104</w:t>
            </w:r>
          </w:p>
        </w:tc>
      </w:tr>
      <w:tr>
        <w:trPr>
          <w:trHeight w:val="255" w:hRule="atLeast"/>
        </w:trPr>
        <w:tc>
          <w:tcPr>
            <w:tcW w:w="1103" w:type="dxa"/>
            <w:tcBorders>
              <w:top w:val="single" w:sz="4" w:space="0" w:color="000000"/>
              <w:left w:val="single" w:sz="4" w:space="0" w:color="000000"/>
              <w:bottom w:val="single" w:sz="4" w:space="0" w:color="000000"/>
            </w:tcBorders>
            <w:shd w:color="auto" w:fill="auto" w:val="clear"/>
            <w:vAlign w:val="bottom"/>
          </w:tcPr>
          <w:p>
            <w:pPr>
              <w:pStyle w:val="Normal"/>
              <w:widowControl w:val="false"/>
              <w:spacing w:before="0" w:after="160"/>
              <w:rPr>
                <w:rFonts w:ascii="Times New Roman" w:hAnsi="Times New Roman"/>
                <w:sz w:val="26"/>
                <w:szCs w:val="26"/>
                <w:lang w:bidi="hi-IN"/>
              </w:rPr>
            </w:pPr>
            <w:r>
              <w:rPr>
                <w:rFonts w:ascii="Times New Roman" w:hAnsi="Times New Roman"/>
                <w:sz w:val="26"/>
                <w:szCs w:val="26"/>
                <w:lang w:bidi="hi-IN"/>
              </w:rPr>
              <w:t>2710</w:t>
            </w:r>
          </w:p>
        </w:tc>
        <w:tc>
          <w:tcPr>
            <w:tcW w:w="5487" w:type="dxa"/>
            <w:tcBorders>
              <w:top w:val="single" w:sz="4" w:space="0" w:color="000000"/>
              <w:left w:val="single" w:sz="4" w:space="0" w:color="000000"/>
              <w:bottom w:val="single" w:sz="4" w:space="0" w:color="000000"/>
            </w:tcBorders>
            <w:shd w:color="auto" w:fill="auto" w:val="clear"/>
            <w:vAlign w:val="bottom"/>
          </w:tcPr>
          <w:p>
            <w:pPr>
              <w:pStyle w:val="Normal"/>
              <w:widowControl w:val="false"/>
              <w:spacing w:before="0" w:after="160"/>
              <w:rPr>
                <w:rFonts w:ascii="Times New Roman" w:hAnsi="Times New Roman"/>
                <w:sz w:val="26"/>
                <w:szCs w:val="26"/>
                <w:lang w:bidi="hi-IN"/>
              </w:rPr>
            </w:pPr>
            <w:r>
              <w:rPr>
                <w:rFonts w:ascii="Times New Roman" w:hAnsi="Times New Roman"/>
                <w:sz w:val="26"/>
                <w:szCs w:val="26"/>
                <w:lang w:bidi="hi-IN"/>
              </w:rPr>
              <w:t>95 octane gasoline output from the process of refining crude oil or crude oils obtained from bituminous minerals materials</w:t>
            </w:r>
          </w:p>
        </w:tc>
        <w:tc>
          <w:tcPr>
            <w:tcW w:w="333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spacing w:before="0" w:after="160"/>
              <w:rPr>
                <w:rFonts w:ascii="Times New Roman" w:hAnsi="Times New Roman"/>
                <w:sz w:val="26"/>
                <w:szCs w:val="26"/>
                <w:lang w:bidi="hi-IN"/>
              </w:rPr>
            </w:pPr>
            <w:r>
              <w:rPr>
                <w:rFonts w:ascii="Times New Roman" w:hAnsi="Times New Roman"/>
                <w:sz w:val="26"/>
                <w:szCs w:val="26"/>
                <w:lang w:bidi="hi-IN"/>
              </w:rPr>
              <w:t>271,550,000</w:t>
            </w:r>
          </w:p>
        </w:tc>
      </w:tr>
      <w:tr>
        <w:trPr>
          <w:trHeight w:val="255" w:hRule="atLeast"/>
        </w:trPr>
        <w:tc>
          <w:tcPr>
            <w:tcW w:w="1103" w:type="dxa"/>
            <w:tcBorders>
              <w:top w:val="single" w:sz="4" w:space="0" w:color="000000"/>
              <w:left w:val="single" w:sz="4" w:space="0" w:color="000000"/>
              <w:bottom w:val="single" w:sz="4" w:space="0" w:color="000000"/>
            </w:tcBorders>
            <w:shd w:color="auto" w:fill="auto" w:val="clear"/>
            <w:vAlign w:val="bottom"/>
          </w:tcPr>
          <w:p>
            <w:pPr>
              <w:pStyle w:val="Normal"/>
              <w:widowControl w:val="false"/>
              <w:spacing w:before="0" w:after="160"/>
              <w:rPr>
                <w:rFonts w:ascii="Times New Roman" w:hAnsi="Times New Roman"/>
                <w:sz w:val="26"/>
                <w:szCs w:val="26"/>
                <w:lang w:bidi="hi-IN"/>
              </w:rPr>
            </w:pPr>
            <w:r>
              <w:rPr>
                <w:rFonts w:ascii="Times New Roman" w:hAnsi="Times New Roman"/>
                <w:sz w:val="26"/>
                <w:szCs w:val="26"/>
                <w:lang w:bidi="hi-IN"/>
              </w:rPr>
              <w:t>1006</w:t>
            </w:r>
          </w:p>
        </w:tc>
        <w:tc>
          <w:tcPr>
            <w:tcW w:w="5487" w:type="dxa"/>
            <w:tcBorders>
              <w:top w:val="single" w:sz="4" w:space="0" w:color="000000"/>
              <w:left w:val="single" w:sz="4" w:space="0" w:color="000000"/>
              <w:bottom w:val="single" w:sz="4" w:space="0" w:color="000000"/>
            </w:tcBorders>
            <w:shd w:color="auto" w:fill="auto" w:val="clear"/>
            <w:vAlign w:val="bottom"/>
          </w:tcPr>
          <w:p>
            <w:pPr>
              <w:pStyle w:val="Normal"/>
              <w:widowControl w:val="false"/>
              <w:spacing w:before="0" w:after="160"/>
              <w:rPr>
                <w:rFonts w:ascii="Times New Roman" w:hAnsi="Times New Roman"/>
                <w:sz w:val="26"/>
                <w:szCs w:val="26"/>
                <w:lang w:bidi="hi-IN"/>
              </w:rPr>
            </w:pPr>
            <w:r>
              <w:rPr>
                <w:rFonts w:ascii="Times New Roman" w:hAnsi="Times New Roman"/>
                <w:sz w:val="26"/>
                <w:szCs w:val="26"/>
                <w:lang w:bidi="hi-IN"/>
              </w:rPr>
              <w:t>Semi-milled or wholly milled rice, whether or not polished or glazed</w:t>
            </w:r>
          </w:p>
        </w:tc>
        <w:tc>
          <w:tcPr>
            <w:tcW w:w="333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spacing w:before="0" w:after="160"/>
              <w:rPr>
                <w:rFonts w:ascii="Times New Roman" w:hAnsi="Times New Roman"/>
                <w:sz w:val="26"/>
                <w:szCs w:val="26"/>
                <w:lang w:bidi="hi-IN"/>
              </w:rPr>
            </w:pPr>
            <w:r>
              <w:rPr>
                <w:rFonts w:ascii="Times New Roman" w:hAnsi="Times New Roman"/>
                <w:sz w:val="26"/>
                <w:szCs w:val="26"/>
                <w:lang w:bidi="hi-IN"/>
              </w:rPr>
              <w:t>100,040,487</w:t>
            </w:r>
          </w:p>
        </w:tc>
      </w:tr>
      <w:tr>
        <w:trPr>
          <w:trHeight w:val="70" w:hRule="atLeast"/>
        </w:trPr>
        <w:tc>
          <w:tcPr>
            <w:tcW w:w="1103" w:type="dxa"/>
            <w:tcBorders>
              <w:top w:val="single" w:sz="4" w:space="0" w:color="000000"/>
              <w:left w:val="single" w:sz="4" w:space="0" w:color="000000"/>
              <w:bottom w:val="single" w:sz="4" w:space="0" w:color="000000"/>
            </w:tcBorders>
            <w:shd w:color="auto" w:fill="auto" w:val="clear"/>
            <w:vAlign w:val="bottom"/>
          </w:tcPr>
          <w:p>
            <w:pPr>
              <w:pStyle w:val="Normal"/>
              <w:widowControl w:val="false"/>
              <w:spacing w:before="0" w:after="160"/>
              <w:rPr>
                <w:rFonts w:ascii="Times New Roman" w:hAnsi="Times New Roman"/>
                <w:sz w:val="26"/>
                <w:szCs w:val="26"/>
                <w:lang w:bidi="hi-IN"/>
              </w:rPr>
            </w:pPr>
            <w:r>
              <w:rPr>
                <w:rFonts w:ascii="Times New Roman" w:hAnsi="Times New Roman"/>
                <w:sz w:val="26"/>
                <w:szCs w:val="26"/>
                <w:lang w:bidi="hi-IN"/>
              </w:rPr>
              <w:t>7202</w:t>
            </w:r>
          </w:p>
        </w:tc>
        <w:tc>
          <w:tcPr>
            <w:tcW w:w="5487" w:type="dxa"/>
            <w:tcBorders>
              <w:top w:val="single" w:sz="4" w:space="0" w:color="000000"/>
              <w:left w:val="single" w:sz="4" w:space="0" w:color="000000"/>
              <w:bottom w:val="single" w:sz="4" w:space="0" w:color="000000"/>
            </w:tcBorders>
            <w:shd w:color="auto" w:fill="auto" w:val="clear"/>
            <w:vAlign w:val="bottom"/>
          </w:tcPr>
          <w:p>
            <w:pPr>
              <w:pStyle w:val="Normal"/>
              <w:widowControl w:val="false"/>
              <w:spacing w:before="0" w:after="160"/>
              <w:rPr>
                <w:rFonts w:ascii="Times New Roman" w:hAnsi="Times New Roman"/>
                <w:sz w:val="26"/>
                <w:szCs w:val="26"/>
                <w:lang w:bidi="hi-IN"/>
              </w:rPr>
            </w:pPr>
            <w:r>
              <w:rPr>
                <w:rFonts w:ascii="Times New Roman" w:hAnsi="Times New Roman"/>
                <w:sz w:val="26"/>
                <w:szCs w:val="26"/>
                <w:lang w:bidi="hi-IN"/>
              </w:rPr>
              <w:t>Ferro-silico-manganese</w:t>
            </w:r>
          </w:p>
        </w:tc>
        <w:tc>
          <w:tcPr>
            <w:tcW w:w="333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spacing w:before="0" w:after="160"/>
              <w:rPr>
                <w:rFonts w:ascii="Times New Roman" w:hAnsi="Times New Roman"/>
                <w:sz w:val="26"/>
                <w:szCs w:val="26"/>
                <w:lang w:bidi="hi-IN"/>
              </w:rPr>
            </w:pPr>
            <w:r>
              <w:rPr>
                <w:rFonts w:ascii="Times New Roman" w:hAnsi="Times New Roman"/>
                <w:sz w:val="26"/>
                <w:szCs w:val="26"/>
                <w:lang w:bidi="hi-IN"/>
              </w:rPr>
              <w:t>83,267,617</w:t>
            </w:r>
          </w:p>
        </w:tc>
      </w:tr>
      <w:tr>
        <w:trPr>
          <w:trHeight w:val="70" w:hRule="atLeast"/>
        </w:trPr>
        <w:tc>
          <w:tcPr>
            <w:tcW w:w="1103" w:type="dxa"/>
            <w:tcBorders>
              <w:top w:val="single" w:sz="4" w:space="0" w:color="000000"/>
              <w:left w:val="single" w:sz="4" w:space="0" w:color="000000"/>
              <w:bottom w:val="single" w:sz="4" w:space="0" w:color="000000"/>
            </w:tcBorders>
            <w:shd w:color="auto" w:fill="auto" w:val="clear"/>
            <w:vAlign w:val="bottom"/>
          </w:tcPr>
          <w:p>
            <w:pPr>
              <w:pStyle w:val="Normal"/>
              <w:widowControl w:val="false"/>
              <w:spacing w:before="0" w:after="160"/>
              <w:rPr>
                <w:rFonts w:ascii="Times New Roman" w:hAnsi="Times New Roman"/>
                <w:sz w:val="26"/>
                <w:szCs w:val="26"/>
                <w:lang w:bidi="hi-IN"/>
              </w:rPr>
            </w:pPr>
            <w:r>
              <w:rPr>
                <w:rFonts w:ascii="Times New Roman" w:hAnsi="Times New Roman"/>
                <w:sz w:val="26"/>
                <w:szCs w:val="26"/>
                <w:lang w:bidi="hi-IN"/>
              </w:rPr>
              <w:t>8445</w:t>
            </w:r>
          </w:p>
        </w:tc>
        <w:tc>
          <w:tcPr>
            <w:tcW w:w="5487" w:type="dxa"/>
            <w:tcBorders>
              <w:top w:val="single" w:sz="4" w:space="0" w:color="000000"/>
              <w:left w:val="single" w:sz="4" w:space="0" w:color="000000"/>
              <w:bottom w:val="single" w:sz="4" w:space="0" w:color="000000"/>
            </w:tcBorders>
            <w:shd w:color="auto" w:fill="auto" w:val="clear"/>
            <w:vAlign w:val="bottom"/>
          </w:tcPr>
          <w:p>
            <w:pPr>
              <w:pStyle w:val="Normal"/>
              <w:widowControl w:val="false"/>
              <w:spacing w:before="0" w:after="160"/>
              <w:rPr>
                <w:rFonts w:ascii="Times New Roman" w:hAnsi="Times New Roman"/>
                <w:sz w:val="26"/>
                <w:szCs w:val="26"/>
                <w:lang w:bidi="hi-IN"/>
              </w:rPr>
            </w:pPr>
            <w:r>
              <w:rPr>
                <w:rFonts w:ascii="Times New Roman" w:hAnsi="Times New Roman"/>
                <w:sz w:val="26"/>
                <w:szCs w:val="26"/>
                <w:lang w:bidi="hi-IN"/>
              </w:rPr>
              <w:t>Textile spinning machines</w:t>
            </w:r>
          </w:p>
        </w:tc>
        <w:tc>
          <w:tcPr>
            <w:tcW w:w="333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spacing w:before="0" w:after="160"/>
              <w:rPr>
                <w:rFonts w:ascii="Times New Roman" w:hAnsi="Times New Roman"/>
                <w:sz w:val="26"/>
                <w:szCs w:val="26"/>
                <w:lang w:bidi="hi-IN"/>
              </w:rPr>
            </w:pPr>
            <w:r>
              <w:rPr>
                <w:rFonts w:ascii="Times New Roman" w:hAnsi="Times New Roman"/>
                <w:sz w:val="26"/>
                <w:szCs w:val="26"/>
                <w:lang w:bidi="hi-IN"/>
              </w:rPr>
              <w:t>68,213,744</w:t>
            </w:r>
          </w:p>
        </w:tc>
      </w:tr>
    </w:tbl>
    <w:p>
      <w:pPr>
        <w:pStyle w:val="Normal"/>
        <w:jc w:val="both"/>
        <w:rPr>
          <w:rFonts w:ascii="Times New Roman" w:hAnsi="Times New Roman"/>
          <w:sz w:val="26"/>
          <w:szCs w:val="26"/>
        </w:rPr>
      </w:pPr>
      <w:r>
        <w:rPr>
          <w:rFonts w:ascii="Times New Roman" w:hAnsi="Times New Roman"/>
          <w:sz w:val="26"/>
          <w:szCs w:val="26"/>
        </w:rPr>
      </w:r>
    </w:p>
    <w:p>
      <w:pPr>
        <w:pStyle w:val="ListParagraph"/>
        <w:numPr>
          <w:ilvl w:val="0"/>
          <w:numId w:val="14"/>
        </w:numPr>
        <w:jc w:val="both"/>
        <w:rPr>
          <w:rFonts w:ascii="Times New Roman" w:hAnsi="Times New Roman"/>
          <w:sz w:val="26"/>
          <w:szCs w:val="26"/>
        </w:rPr>
      </w:pPr>
      <w:r>
        <w:rPr>
          <w:rFonts w:ascii="Times New Roman" w:hAnsi="Times New Roman"/>
          <w:sz w:val="26"/>
          <w:szCs w:val="26"/>
        </w:rPr>
        <w:t xml:space="preserve">Top 5 Principal commodities of imports (Apr 23 – </w:t>
      </w:r>
      <w:r>
        <w:rPr>
          <w:rFonts w:ascii="Times New Roman" w:hAnsi="Times New Roman"/>
          <w:sz w:val="26"/>
          <w:szCs w:val="26"/>
          <w:lang w:bidi="hi-IN"/>
        </w:rPr>
        <w:t>June</w:t>
      </w:r>
      <w:r>
        <w:rPr>
          <w:rFonts w:ascii="Times New Roman" w:hAnsi="Times New Roman"/>
          <w:b/>
          <w:i/>
          <w:iCs/>
          <w:sz w:val="26"/>
          <w:szCs w:val="26"/>
          <w:lang w:val="en-GB"/>
        </w:rPr>
        <w:t xml:space="preserve"> </w:t>
      </w:r>
      <w:r>
        <w:rPr>
          <w:rFonts w:ascii="Times New Roman" w:hAnsi="Times New Roman"/>
          <w:sz w:val="26"/>
          <w:szCs w:val="26"/>
        </w:rPr>
        <w:t>24) (Data is available till March 2024 on CAPMAS)</w:t>
      </w:r>
    </w:p>
    <w:p>
      <w:pPr>
        <w:pStyle w:val="ListParagraph"/>
        <w:ind w:left="0" w:hanging="0"/>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 xml:space="preserve">Crude, Natural Gas, Fertilizers and </w:t>
      </w:r>
      <w:r>
        <w:rPr>
          <w:rFonts w:ascii="Times New Roman" w:hAnsi="Times New Roman"/>
          <w:sz w:val="26"/>
          <w:szCs w:val="26"/>
          <w:lang w:bidi="hi-IN"/>
        </w:rPr>
        <w:t>phosphates</w:t>
      </w:r>
      <w:r>
        <w:rPr>
          <w:rFonts w:ascii="Times New Roman" w:hAnsi="Times New Roman"/>
          <w:sz w:val="26"/>
          <w:szCs w:val="26"/>
        </w:rPr>
        <w:t xml:space="preserve">. </w:t>
      </w:r>
    </w:p>
    <w:tbl>
      <w:tblPr>
        <w:tblW w:w="9833" w:type="dxa"/>
        <w:jc w:val="left"/>
        <w:tblInd w:w="-5" w:type="dxa"/>
        <w:tblLayout w:type="fixed"/>
        <w:tblCellMar>
          <w:top w:w="0" w:type="dxa"/>
          <w:left w:w="108" w:type="dxa"/>
          <w:bottom w:w="0" w:type="dxa"/>
          <w:right w:w="108" w:type="dxa"/>
        </w:tblCellMar>
        <w:tblLook w:val="0000" w:noHBand="0" w:noVBand="0" w:firstColumn="0" w:lastRow="0" w:lastColumn="0" w:firstRow="0"/>
      </w:tblPr>
      <w:tblGrid>
        <w:gridCol w:w="1190"/>
        <w:gridCol w:w="4950"/>
        <w:gridCol w:w="3693"/>
      </w:tblGrid>
      <w:tr>
        <w:trPr>
          <w:trHeight w:val="255" w:hRule="atLeast"/>
        </w:trPr>
        <w:tc>
          <w:tcPr>
            <w:tcW w:w="1190" w:type="dxa"/>
            <w:tcBorders>
              <w:top w:val="single" w:sz="4" w:space="0" w:color="000000"/>
              <w:left w:val="single" w:sz="4" w:space="0" w:color="000000"/>
              <w:bottom w:val="single" w:sz="4" w:space="0" w:color="000000"/>
            </w:tcBorders>
            <w:shd w:color="auto" w:fill="auto" w:val="clear"/>
          </w:tcPr>
          <w:p>
            <w:pPr>
              <w:pStyle w:val="Normal"/>
              <w:widowControl w:val="false"/>
              <w:rPr>
                <w:rFonts w:ascii="Times New Roman" w:hAnsi="Times New Roman"/>
              </w:rPr>
            </w:pPr>
            <w:r>
              <w:rPr>
                <w:rFonts w:ascii="Times New Roman" w:hAnsi="Times New Roman"/>
                <w:b/>
                <w:bCs/>
                <w:sz w:val="26"/>
                <w:szCs w:val="26"/>
                <w:lang w:bidi="hi-IN"/>
              </w:rPr>
              <w:t>HS</w:t>
            </w:r>
          </w:p>
          <w:p>
            <w:pPr>
              <w:pStyle w:val="Normal"/>
              <w:widowControl w:val="false"/>
              <w:spacing w:before="0" w:after="160"/>
              <w:rPr>
                <w:rFonts w:ascii="Times New Roman" w:hAnsi="Times New Roman"/>
              </w:rPr>
            </w:pPr>
            <w:r>
              <w:rPr>
                <w:rFonts w:ascii="Times New Roman" w:hAnsi="Times New Roman"/>
                <w:b/>
                <w:bCs/>
                <w:sz w:val="26"/>
                <w:szCs w:val="26"/>
                <w:lang w:bidi="hi-IN"/>
              </w:rPr>
              <w:t>Code</w:t>
            </w:r>
          </w:p>
        </w:tc>
        <w:tc>
          <w:tcPr>
            <w:tcW w:w="4950"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rPr>
                <w:rFonts w:ascii="Times New Roman" w:hAnsi="Times New Roman"/>
              </w:rPr>
            </w:pPr>
            <w:r>
              <w:rPr>
                <w:rFonts w:ascii="Times New Roman" w:hAnsi="Times New Roman"/>
                <w:b/>
                <w:bCs/>
                <w:sz w:val="26"/>
                <w:szCs w:val="26"/>
                <w:lang w:bidi="hi-IN"/>
              </w:rPr>
              <w:t>Commodity</w:t>
            </w:r>
          </w:p>
        </w:tc>
        <w:tc>
          <w:tcPr>
            <w:tcW w:w="369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both"/>
              <w:rPr>
                <w:rFonts w:ascii="Times New Roman" w:hAnsi="Times New Roman"/>
                <w:sz w:val="26"/>
                <w:szCs w:val="26"/>
                <w:lang w:bidi="hi-IN"/>
              </w:rPr>
            </w:pPr>
            <w:r>
              <w:rPr>
                <w:rFonts w:ascii="Times New Roman" w:hAnsi="Times New Roman"/>
                <w:sz w:val="26"/>
                <w:szCs w:val="26"/>
                <w:lang w:bidi="hi-IN"/>
              </w:rPr>
              <w:t>(Apr 23-</w:t>
            </w:r>
            <w:r>
              <w:rPr>
                <w:rFonts w:ascii="Times New Roman" w:hAnsi="Times New Roman"/>
                <w:sz w:val="26"/>
                <w:szCs w:val="26"/>
              </w:rPr>
              <w:t xml:space="preserve"> </w:t>
            </w:r>
            <w:r>
              <w:rPr>
                <w:rFonts w:ascii="Times New Roman" w:hAnsi="Times New Roman"/>
                <w:sz w:val="26"/>
                <w:szCs w:val="26"/>
                <w:lang w:bidi="hi-IN"/>
              </w:rPr>
              <w:t>June</w:t>
            </w:r>
            <w:r>
              <w:rPr>
                <w:rFonts w:ascii="Times New Roman" w:hAnsi="Times New Roman"/>
                <w:b/>
                <w:i/>
                <w:iCs/>
                <w:sz w:val="26"/>
                <w:szCs w:val="26"/>
                <w:lang w:val="en-GB"/>
              </w:rPr>
              <w:t xml:space="preserve"> </w:t>
            </w:r>
            <w:r>
              <w:rPr>
                <w:rFonts w:ascii="Times New Roman" w:hAnsi="Times New Roman"/>
                <w:sz w:val="26"/>
                <w:szCs w:val="26"/>
                <w:lang w:bidi="hi-IN"/>
              </w:rPr>
              <w:t>24)– (US $)</w:t>
            </w:r>
          </w:p>
        </w:tc>
      </w:tr>
      <w:tr>
        <w:trPr>
          <w:trHeight w:val="255" w:hRule="atLeast"/>
        </w:trPr>
        <w:tc>
          <w:tcPr>
            <w:tcW w:w="1190" w:type="dxa"/>
            <w:tcBorders>
              <w:top w:val="single" w:sz="4" w:space="0" w:color="000000"/>
              <w:left w:val="single" w:sz="4" w:space="0" w:color="000000"/>
              <w:bottom w:val="single" w:sz="4" w:space="0" w:color="000000"/>
            </w:tcBorders>
            <w:shd w:color="auto" w:fill="auto" w:val="clear"/>
            <w:vAlign w:val="bottom"/>
          </w:tcPr>
          <w:p>
            <w:pPr>
              <w:pStyle w:val="Normal"/>
              <w:widowControl w:val="false"/>
              <w:spacing w:before="0" w:after="160"/>
              <w:rPr>
                <w:rFonts w:ascii="Times New Roman" w:hAnsi="Times New Roman"/>
                <w:sz w:val="26"/>
                <w:szCs w:val="26"/>
                <w:lang w:bidi="hi-IN"/>
              </w:rPr>
            </w:pPr>
            <w:r>
              <w:rPr>
                <w:rFonts w:ascii="Times New Roman" w:hAnsi="Times New Roman"/>
                <w:sz w:val="26"/>
                <w:szCs w:val="26"/>
                <w:lang w:bidi="hi-IN"/>
              </w:rPr>
              <w:t>2709</w:t>
            </w:r>
          </w:p>
        </w:tc>
        <w:tc>
          <w:tcPr>
            <w:tcW w:w="4950" w:type="dxa"/>
            <w:tcBorders>
              <w:top w:val="single" w:sz="4" w:space="0" w:color="000000"/>
              <w:left w:val="single" w:sz="4" w:space="0" w:color="000000"/>
              <w:bottom w:val="single" w:sz="4" w:space="0" w:color="000000"/>
            </w:tcBorders>
            <w:shd w:color="auto" w:fill="auto" w:val="clear"/>
            <w:vAlign w:val="bottom"/>
          </w:tcPr>
          <w:p>
            <w:pPr>
              <w:pStyle w:val="Normal"/>
              <w:widowControl w:val="false"/>
              <w:spacing w:before="0" w:after="160"/>
              <w:rPr>
                <w:rFonts w:ascii="Times New Roman" w:hAnsi="Times New Roman"/>
                <w:sz w:val="26"/>
                <w:szCs w:val="26"/>
                <w:lang w:bidi="hi-IN"/>
              </w:rPr>
            </w:pPr>
            <w:r>
              <w:rPr>
                <w:rFonts w:ascii="Times New Roman" w:hAnsi="Times New Roman"/>
                <w:sz w:val="26"/>
                <w:szCs w:val="26"/>
                <w:lang w:bidi="hi-IN"/>
              </w:rPr>
              <w:t>Petroleum, crude</w:t>
            </w:r>
          </w:p>
        </w:tc>
        <w:tc>
          <w:tcPr>
            <w:tcW w:w="369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spacing w:before="0" w:after="160"/>
              <w:rPr>
                <w:rFonts w:ascii="Times New Roman" w:hAnsi="Times New Roman"/>
                <w:sz w:val="26"/>
                <w:szCs w:val="26"/>
                <w:lang w:bidi="hi-IN"/>
              </w:rPr>
            </w:pPr>
            <w:r>
              <w:rPr>
                <w:rFonts w:ascii="Times New Roman" w:hAnsi="Times New Roman"/>
                <w:sz w:val="26"/>
                <w:szCs w:val="26"/>
                <w:lang w:bidi="hi-IN"/>
              </w:rPr>
              <w:t>444,144,900</w:t>
            </w:r>
          </w:p>
        </w:tc>
      </w:tr>
      <w:tr>
        <w:trPr>
          <w:trHeight w:val="255" w:hRule="atLeast"/>
        </w:trPr>
        <w:tc>
          <w:tcPr>
            <w:tcW w:w="1190" w:type="dxa"/>
            <w:tcBorders>
              <w:top w:val="single" w:sz="4" w:space="0" w:color="000000"/>
              <w:left w:val="single" w:sz="4" w:space="0" w:color="000000"/>
              <w:bottom w:val="single" w:sz="4" w:space="0" w:color="000000"/>
            </w:tcBorders>
            <w:shd w:color="auto" w:fill="auto" w:val="clear"/>
            <w:vAlign w:val="bottom"/>
          </w:tcPr>
          <w:p>
            <w:pPr>
              <w:pStyle w:val="Normal"/>
              <w:widowControl w:val="false"/>
              <w:spacing w:before="0" w:after="160"/>
              <w:rPr>
                <w:rFonts w:ascii="Times New Roman" w:hAnsi="Times New Roman"/>
                <w:sz w:val="26"/>
                <w:szCs w:val="26"/>
                <w:lang w:bidi="hi-IN"/>
              </w:rPr>
            </w:pPr>
            <w:r>
              <w:rPr>
                <w:rFonts w:ascii="Times New Roman" w:hAnsi="Times New Roman"/>
                <w:sz w:val="26"/>
                <w:szCs w:val="26"/>
                <w:lang w:bidi="hi-IN"/>
              </w:rPr>
              <w:t>2510</w:t>
            </w:r>
          </w:p>
        </w:tc>
        <w:tc>
          <w:tcPr>
            <w:tcW w:w="4950" w:type="dxa"/>
            <w:tcBorders>
              <w:top w:val="single" w:sz="4" w:space="0" w:color="000000"/>
              <w:left w:val="single" w:sz="4" w:space="0" w:color="000000"/>
              <w:bottom w:val="single" w:sz="4" w:space="0" w:color="000000"/>
            </w:tcBorders>
            <w:shd w:color="auto" w:fill="auto" w:val="clear"/>
            <w:vAlign w:val="bottom"/>
          </w:tcPr>
          <w:p>
            <w:pPr>
              <w:pStyle w:val="Normal"/>
              <w:widowControl w:val="false"/>
              <w:spacing w:before="0" w:after="160"/>
              <w:rPr>
                <w:rFonts w:ascii="Times New Roman" w:hAnsi="Times New Roman"/>
                <w:sz w:val="26"/>
                <w:szCs w:val="26"/>
                <w:lang w:bidi="hi-IN"/>
              </w:rPr>
            </w:pPr>
            <w:r>
              <w:rPr>
                <w:rFonts w:ascii="Times New Roman" w:hAnsi="Times New Roman"/>
                <w:sz w:val="26"/>
                <w:szCs w:val="26"/>
                <w:lang w:bidi="hi-IN"/>
              </w:rPr>
              <w:t>Natural calcium phosphates, unground</w:t>
            </w:r>
          </w:p>
        </w:tc>
        <w:tc>
          <w:tcPr>
            <w:tcW w:w="369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spacing w:before="0" w:after="160"/>
              <w:rPr>
                <w:rFonts w:ascii="Times New Roman" w:hAnsi="Times New Roman"/>
                <w:sz w:val="26"/>
                <w:szCs w:val="26"/>
                <w:lang w:bidi="hi-IN"/>
              </w:rPr>
            </w:pPr>
            <w:r>
              <w:rPr>
                <w:rFonts w:ascii="Times New Roman" w:hAnsi="Times New Roman"/>
                <w:sz w:val="26"/>
                <w:szCs w:val="26"/>
                <w:lang w:bidi="hi-IN"/>
              </w:rPr>
              <w:t>112,242,427</w:t>
            </w:r>
          </w:p>
        </w:tc>
      </w:tr>
      <w:tr>
        <w:trPr>
          <w:trHeight w:val="255" w:hRule="atLeast"/>
        </w:trPr>
        <w:tc>
          <w:tcPr>
            <w:tcW w:w="1190" w:type="dxa"/>
            <w:tcBorders>
              <w:top w:val="single" w:sz="4" w:space="0" w:color="000000"/>
              <w:left w:val="single" w:sz="4" w:space="0" w:color="000000"/>
              <w:bottom w:val="single" w:sz="4" w:space="0" w:color="000000"/>
            </w:tcBorders>
            <w:shd w:color="auto" w:fill="auto" w:val="clear"/>
            <w:vAlign w:val="bottom"/>
          </w:tcPr>
          <w:p>
            <w:pPr>
              <w:pStyle w:val="Normal"/>
              <w:widowControl w:val="false"/>
              <w:spacing w:before="0" w:after="160"/>
              <w:rPr>
                <w:rFonts w:ascii="Times New Roman" w:hAnsi="Times New Roman"/>
                <w:sz w:val="26"/>
                <w:szCs w:val="26"/>
                <w:lang w:bidi="hi-IN"/>
              </w:rPr>
            </w:pPr>
            <w:r>
              <w:rPr>
                <w:rFonts w:ascii="Times New Roman" w:hAnsi="Times New Roman"/>
                <w:sz w:val="26"/>
                <w:szCs w:val="26"/>
                <w:lang w:bidi="hi-IN"/>
              </w:rPr>
              <w:t>5201</w:t>
            </w:r>
          </w:p>
        </w:tc>
        <w:tc>
          <w:tcPr>
            <w:tcW w:w="4950" w:type="dxa"/>
            <w:tcBorders>
              <w:top w:val="single" w:sz="4" w:space="0" w:color="000000"/>
              <w:left w:val="single" w:sz="4" w:space="0" w:color="000000"/>
              <w:bottom w:val="single" w:sz="4" w:space="0" w:color="000000"/>
            </w:tcBorders>
            <w:shd w:color="auto" w:fill="auto" w:val="clear"/>
            <w:vAlign w:val="bottom"/>
          </w:tcPr>
          <w:p>
            <w:pPr>
              <w:pStyle w:val="Normal"/>
              <w:widowControl w:val="false"/>
              <w:spacing w:before="0" w:after="160"/>
              <w:rPr>
                <w:rFonts w:ascii="Times New Roman" w:hAnsi="Times New Roman"/>
                <w:sz w:val="26"/>
                <w:szCs w:val="26"/>
                <w:lang w:bidi="hi-IN"/>
              </w:rPr>
            </w:pPr>
            <w:r>
              <w:rPr>
                <w:rFonts w:ascii="Times New Roman" w:hAnsi="Times New Roman"/>
                <w:sz w:val="26"/>
                <w:szCs w:val="26"/>
                <w:lang w:bidi="hi-IN"/>
              </w:rPr>
              <w:t>Other cotton, not carded or combed, ginned</w:t>
            </w:r>
          </w:p>
        </w:tc>
        <w:tc>
          <w:tcPr>
            <w:tcW w:w="369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spacing w:before="0" w:after="160"/>
              <w:rPr>
                <w:rFonts w:ascii="Times New Roman" w:hAnsi="Times New Roman"/>
                <w:sz w:val="26"/>
                <w:szCs w:val="26"/>
                <w:lang w:bidi="hi-IN"/>
              </w:rPr>
            </w:pPr>
            <w:r>
              <w:rPr>
                <w:rFonts w:ascii="Times New Roman" w:hAnsi="Times New Roman"/>
                <w:sz w:val="26"/>
                <w:szCs w:val="26"/>
                <w:lang w:bidi="hi-IN"/>
              </w:rPr>
              <w:t>110,050,592</w:t>
            </w:r>
          </w:p>
        </w:tc>
      </w:tr>
      <w:tr>
        <w:trPr>
          <w:trHeight w:val="255" w:hRule="atLeast"/>
        </w:trPr>
        <w:tc>
          <w:tcPr>
            <w:tcW w:w="1190" w:type="dxa"/>
            <w:tcBorders>
              <w:top w:val="single" w:sz="4" w:space="0" w:color="000000"/>
              <w:left w:val="single" w:sz="4" w:space="0" w:color="000000"/>
              <w:bottom w:val="single" w:sz="4" w:space="0" w:color="000000"/>
            </w:tcBorders>
            <w:shd w:color="auto" w:fill="auto" w:val="clear"/>
            <w:vAlign w:val="bottom"/>
          </w:tcPr>
          <w:p>
            <w:pPr>
              <w:pStyle w:val="Normal"/>
              <w:widowControl w:val="false"/>
              <w:spacing w:before="0" w:after="160"/>
              <w:rPr>
                <w:rFonts w:ascii="Times New Roman" w:hAnsi="Times New Roman"/>
                <w:sz w:val="26"/>
                <w:szCs w:val="26"/>
                <w:lang w:bidi="hi-IN"/>
              </w:rPr>
            </w:pPr>
            <w:r>
              <w:rPr>
                <w:rFonts w:ascii="Times New Roman" w:hAnsi="Times New Roman"/>
                <w:sz w:val="26"/>
                <w:szCs w:val="26"/>
                <w:lang w:bidi="hi-IN"/>
              </w:rPr>
              <w:t>2711</w:t>
            </w:r>
          </w:p>
        </w:tc>
        <w:tc>
          <w:tcPr>
            <w:tcW w:w="4950" w:type="dxa"/>
            <w:tcBorders>
              <w:top w:val="single" w:sz="4" w:space="0" w:color="000000"/>
              <w:left w:val="single" w:sz="4" w:space="0" w:color="000000"/>
              <w:bottom w:val="single" w:sz="4" w:space="0" w:color="000000"/>
            </w:tcBorders>
            <w:shd w:color="auto" w:fill="auto" w:val="clear"/>
            <w:vAlign w:val="bottom"/>
          </w:tcPr>
          <w:p>
            <w:pPr>
              <w:pStyle w:val="Normal"/>
              <w:widowControl w:val="false"/>
              <w:spacing w:before="0" w:after="160"/>
              <w:rPr>
                <w:rFonts w:ascii="Times New Roman" w:hAnsi="Times New Roman"/>
                <w:sz w:val="26"/>
                <w:szCs w:val="26"/>
                <w:lang w:bidi="hi-IN"/>
              </w:rPr>
            </w:pPr>
            <w:r>
              <w:rPr>
                <w:rFonts w:ascii="Times New Roman" w:hAnsi="Times New Roman"/>
                <w:sz w:val="26"/>
                <w:szCs w:val="26"/>
                <w:lang w:bidi="hi-IN"/>
              </w:rPr>
              <w:t>Liquefied natural gas</w:t>
            </w:r>
          </w:p>
        </w:tc>
        <w:tc>
          <w:tcPr>
            <w:tcW w:w="369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spacing w:before="0" w:after="160"/>
              <w:rPr>
                <w:rFonts w:ascii="Times New Roman" w:hAnsi="Times New Roman"/>
                <w:sz w:val="26"/>
                <w:szCs w:val="26"/>
                <w:lang w:bidi="hi-IN"/>
              </w:rPr>
            </w:pPr>
            <w:r>
              <w:rPr>
                <w:rFonts w:ascii="Times New Roman" w:hAnsi="Times New Roman"/>
                <w:sz w:val="26"/>
                <w:szCs w:val="26"/>
                <w:lang w:bidi="hi-IN"/>
              </w:rPr>
              <w:t>76,660,000</w:t>
            </w:r>
          </w:p>
        </w:tc>
      </w:tr>
      <w:tr>
        <w:trPr>
          <w:trHeight w:val="255" w:hRule="atLeast"/>
        </w:trPr>
        <w:tc>
          <w:tcPr>
            <w:tcW w:w="1190" w:type="dxa"/>
            <w:tcBorders>
              <w:top w:val="single" w:sz="4" w:space="0" w:color="000000"/>
              <w:left w:val="single" w:sz="4" w:space="0" w:color="000000"/>
              <w:bottom w:val="single" w:sz="4" w:space="0" w:color="000000"/>
            </w:tcBorders>
            <w:shd w:color="auto" w:fill="auto" w:val="clear"/>
            <w:vAlign w:val="bottom"/>
          </w:tcPr>
          <w:p>
            <w:pPr>
              <w:pStyle w:val="Normal"/>
              <w:widowControl w:val="false"/>
              <w:spacing w:before="0" w:after="160"/>
              <w:rPr>
                <w:rFonts w:ascii="Times New Roman" w:hAnsi="Times New Roman"/>
                <w:sz w:val="26"/>
                <w:szCs w:val="26"/>
                <w:lang w:bidi="hi-IN"/>
              </w:rPr>
            </w:pPr>
            <w:r>
              <w:rPr>
                <w:rFonts w:ascii="Times New Roman" w:hAnsi="Times New Roman"/>
                <w:sz w:val="26"/>
                <w:szCs w:val="26"/>
                <w:lang w:bidi="hi-IN"/>
              </w:rPr>
              <w:t>3102</w:t>
            </w:r>
          </w:p>
        </w:tc>
        <w:tc>
          <w:tcPr>
            <w:tcW w:w="4950" w:type="dxa"/>
            <w:tcBorders>
              <w:top w:val="single" w:sz="4" w:space="0" w:color="000000"/>
              <w:left w:val="single" w:sz="4" w:space="0" w:color="000000"/>
              <w:bottom w:val="single" w:sz="4" w:space="0" w:color="000000"/>
            </w:tcBorders>
            <w:shd w:color="auto" w:fill="auto" w:val="clear"/>
            <w:vAlign w:val="bottom"/>
          </w:tcPr>
          <w:p>
            <w:pPr>
              <w:pStyle w:val="Normal"/>
              <w:widowControl w:val="false"/>
              <w:spacing w:before="0" w:after="160"/>
              <w:rPr>
                <w:rFonts w:ascii="Times New Roman" w:hAnsi="Times New Roman"/>
                <w:sz w:val="26"/>
                <w:szCs w:val="26"/>
                <w:lang w:bidi="hi-IN"/>
              </w:rPr>
            </w:pPr>
            <w:r>
              <w:rPr>
                <w:rFonts w:ascii="Times New Roman" w:hAnsi="Times New Roman"/>
                <w:sz w:val="26"/>
                <w:szCs w:val="26"/>
                <w:lang w:bidi="hi-IN"/>
              </w:rPr>
              <w:t>Urea, whether or not in aqueous solution</w:t>
            </w:r>
          </w:p>
        </w:tc>
        <w:tc>
          <w:tcPr>
            <w:tcW w:w="3693"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spacing w:before="0" w:after="160"/>
              <w:rPr>
                <w:rFonts w:ascii="Times New Roman" w:hAnsi="Times New Roman"/>
                <w:sz w:val="26"/>
                <w:szCs w:val="26"/>
                <w:lang w:bidi="hi-IN"/>
              </w:rPr>
            </w:pPr>
            <w:r>
              <w:rPr>
                <w:rFonts w:ascii="Times New Roman" w:hAnsi="Times New Roman"/>
                <w:sz w:val="26"/>
                <w:szCs w:val="26"/>
                <w:lang w:bidi="hi-IN"/>
              </w:rPr>
              <w:t>40,505,368</w:t>
            </w:r>
          </w:p>
        </w:tc>
      </w:tr>
    </w:tbl>
    <w:p>
      <w:pPr>
        <w:pStyle w:val="ListParagraph"/>
        <w:ind w:left="5040" w:firstLine="720"/>
        <w:rPr>
          <w:rFonts w:ascii="Times New Roman" w:hAnsi="Times New Roman" w:eastAsia="Times New Roman"/>
          <w:b/>
          <w:bCs/>
          <w:sz w:val="26"/>
          <w:szCs w:val="26"/>
          <w:lang w:eastAsia="en-IN" w:bidi="hi-IN"/>
        </w:rPr>
      </w:pPr>
      <w:r>
        <w:rPr>
          <w:rFonts w:eastAsia="Times New Roman" w:ascii="Times New Roman" w:hAnsi="Times New Roman"/>
          <w:b/>
          <w:bCs/>
          <w:sz w:val="26"/>
          <w:szCs w:val="26"/>
          <w:lang w:eastAsia="en-IN" w:bidi="hi-IN"/>
        </w:rPr>
      </w:r>
    </w:p>
    <w:p>
      <w:pPr>
        <w:pStyle w:val="ListParagraph"/>
        <w:numPr>
          <w:ilvl w:val="0"/>
          <w:numId w:val="14"/>
        </w:numPr>
        <w:rPr>
          <w:rFonts w:ascii="Times New Roman" w:hAnsi="Times New Roman"/>
        </w:rPr>
      </w:pPr>
      <w:r>
        <w:rPr>
          <w:rFonts w:ascii="Times New Roman" w:hAnsi="Times New Roman"/>
          <w:b/>
          <w:bCs/>
          <w:sz w:val="26"/>
          <w:szCs w:val="26"/>
        </w:rPr>
        <w:t>Products with good potential for export from India</w:t>
      </w:r>
    </w:p>
    <w:p>
      <w:pPr>
        <w:pStyle w:val="ListParagraph"/>
        <w:ind w:left="540" w:hanging="0"/>
        <w:rPr>
          <w:rFonts w:ascii="Times New Roman" w:hAnsi="Times New Roman"/>
          <w:b/>
          <w:bCs/>
          <w:sz w:val="26"/>
          <w:szCs w:val="26"/>
        </w:rPr>
      </w:pPr>
      <w:r>
        <w:rPr>
          <w:rFonts w:ascii="Times New Roman" w:hAnsi="Times New Roman"/>
          <w:b/>
          <w:bCs/>
          <w:sz w:val="26"/>
          <w:szCs w:val="26"/>
        </w:rPr>
      </w:r>
    </w:p>
    <w:p>
      <w:pPr>
        <w:pStyle w:val="ListParagraph"/>
        <w:ind w:left="540" w:hanging="0"/>
        <w:jc w:val="both"/>
        <w:rPr>
          <w:rFonts w:ascii="Times New Roman" w:hAnsi="Times New Roman"/>
        </w:rPr>
      </w:pPr>
      <w:r>
        <w:rPr>
          <w:rFonts w:ascii="Times New Roman" w:hAnsi="Times New Roman"/>
          <w:sz w:val="26"/>
          <w:szCs w:val="26"/>
        </w:rPr>
        <w:t>Pharmaceuticals, Automobile and auto components, IT and IT enabled services, railways, construction, Renewable energy, desalination, Infrastructure, data centers, etc.</w:t>
      </w:r>
    </w:p>
    <w:p>
      <w:pPr>
        <w:pStyle w:val="ListParagraph"/>
        <w:rPr>
          <w:rFonts w:ascii="Times New Roman" w:hAnsi="Times New Roman"/>
          <w:b/>
          <w:bCs/>
          <w:color w:val="FF0000"/>
          <w:sz w:val="26"/>
          <w:szCs w:val="26"/>
        </w:rPr>
      </w:pPr>
      <w:r>
        <w:rPr>
          <w:rFonts w:ascii="Times New Roman" w:hAnsi="Times New Roman"/>
          <w:b/>
          <w:bCs/>
          <w:color w:val="FF0000"/>
          <w:sz w:val="26"/>
          <w:szCs w:val="26"/>
        </w:rPr>
      </w:r>
    </w:p>
    <w:p>
      <w:pPr>
        <w:pStyle w:val="ListParagraph"/>
        <w:numPr>
          <w:ilvl w:val="0"/>
          <w:numId w:val="3"/>
        </w:numPr>
        <w:jc w:val="both"/>
        <w:rPr>
          <w:rFonts w:ascii="Times New Roman" w:hAnsi="Times New Roman"/>
        </w:rPr>
      </w:pPr>
      <w:r>
        <w:rPr>
          <w:rFonts w:ascii="Times New Roman" w:hAnsi="Times New Roman"/>
          <w:b/>
          <w:bCs/>
          <w:sz w:val="26"/>
          <w:szCs w:val="26"/>
        </w:rPr>
        <w:t>Services trade</w:t>
      </w:r>
      <w:r>
        <w:rPr>
          <w:rFonts w:ascii="Times New Roman" w:hAnsi="Times New Roman"/>
          <w:sz w:val="26"/>
          <w:szCs w:val="26"/>
        </w:rPr>
        <w:t xml:space="preserve">- India’s total services trade with </w:t>
      </w:r>
      <w:r>
        <w:rPr>
          <w:rFonts w:ascii="Times New Roman" w:hAnsi="Times New Roman"/>
          <w:bCs/>
          <w:iCs/>
          <w:sz w:val="26"/>
          <w:szCs w:val="26"/>
        </w:rPr>
        <w:t>Egypt</w:t>
      </w:r>
      <w:r>
        <w:rPr>
          <w:rFonts w:ascii="Times New Roman" w:hAnsi="Times New Roman"/>
          <w:b/>
          <w:iCs/>
          <w:sz w:val="26"/>
          <w:szCs w:val="26"/>
        </w:rPr>
        <w:t xml:space="preserve"> </w:t>
      </w:r>
      <w:r>
        <w:rPr>
          <w:rFonts w:ascii="Times New Roman" w:hAnsi="Times New Roman"/>
          <w:sz w:val="26"/>
          <w:szCs w:val="26"/>
        </w:rPr>
        <w:t xml:space="preserve">was US$ 237 million in 2021-22. India registered a service trade surplus of US$ 216 </w:t>
      </w:r>
      <w:r>
        <w:rPr>
          <w:rFonts w:ascii="Times New Roman" w:hAnsi="Times New Roman"/>
          <w:color w:val="000000"/>
          <w:sz w:val="26"/>
          <w:szCs w:val="26"/>
        </w:rPr>
        <w:t>million</w:t>
      </w:r>
      <w:r>
        <w:rPr>
          <w:rFonts w:ascii="Times New Roman" w:hAnsi="Times New Roman"/>
          <w:sz w:val="26"/>
          <w:szCs w:val="26"/>
        </w:rPr>
        <w:t>. (No recent data)</w:t>
      </w:r>
    </w:p>
    <w:tbl>
      <w:tblPr>
        <w:tblW w:w="8712" w:type="dxa"/>
        <w:jc w:val="left"/>
        <w:tblInd w:w="535" w:type="dxa"/>
        <w:tblLayout w:type="fixed"/>
        <w:tblCellMar>
          <w:top w:w="0" w:type="dxa"/>
          <w:left w:w="108" w:type="dxa"/>
          <w:bottom w:w="0" w:type="dxa"/>
          <w:right w:w="108" w:type="dxa"/>
        </w:tblCellMar>
        <w:tblLook w:val="0000" w:noHBand="0" w:noVBand="0" w:firstColumn="0" w:lastRow="0" w:lastColumn="0" w:firstRow="0"/>
      </w:tblPr>
      <w:tblGrid>
        <w:gridCol w:w="1007"/>
        <w:gridCol w:w="4794"/>
        <w:gridCol w:w="2911"/>
      </w:tblGrid>
      <w:tr>
        <w:trPr/>
        <w:tc>
          <w:tcPr>
            <w:tcW w:w="1007" w:type="dxa"/>
            <w:tcBorders>
              <w:top w:val="single" w:sz="4" w:space="0" w:color="000000"/>
              <w:left w:val="single" w:sz="4" w:space="0" w:color="000000"/>
              <w:bottom w:val="single" w:sz="4" w:space="0" w:color="000000"/>
            </w:tcBorders>
            <w:shd w:color="auto" w:fill="auto" w:val="clear"/>
          </w:tcPr>
          <w:p>
            <w:pPr>
              <w:pStyle w:val="WW-ListParagraph"/>
              <w:widowControl w:val="false"/>
              <w:numPr>
                <w:ilvl w:val="0"/>
                <w:numId w:val="5"/>
              </w:numPr>
              <w:snapToGrid w:val="false"/>
              <w:spacing w:lineRule="auto" w:line="276" w:before="0" w:after="0"/>
              <w:contextualSpacing/>
              <w:jc w:val="both"/>
              <w:rPr>
                <w:rFonts w:ascii="Times New Roman" w:hAnsi="Times New Roman"/>
                <w:sz w:val="26"/>
                <w:szCs w:val="26"/>
              </w:rPr>
            </w:pPr>
            <w:r>
              <w:rPr>
                <w:rFonts w:ascii="Times New Roman" w:hAnsi="Times New Roman"/>
                <w:sz w:val="26"/>
                <w:szCs w:val="26"/>
              </w:rPr>
            </w:r>
          </w:p>
        </w:tc>
        <w:tc>
          <w:tcPr>
            <w:tcW w:w="4794"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76" w:before="0" w:after="160"/>
              <w:jc w:val="both"/>
              <w:rPr>
                <w:rFonts w:ascii="Times New Roman" w:hAnsi="Times New Roman"/>
              </w:rPr>
            </w:pPr>
            <w:r>
              <w:rPr>
                <w:rFonts w:ascii="Times New Roman" w:hAnsi="Times New Roman"/>
                <w:sz w:val="26"/>
                <w:szCs w:val="26"/>
              </w:rPr>
              <w:t>Exports (2021-22)</w:t>
            </w:r>
          </w:p>
        </w:tc>
        <w:tc>
          <w:tcPr>
            <w:tcW w:w="2911"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pacing w:lineRule="auto" w:line="360" w:before="0" w:after="200"/>
              <w:ind w:left="0" w:hanging="0"/>
              <w:contextualSpacing/>
              <w:jc w:val="both"/>
              <w:rPr>
                <w:rFonts w:ascii="Times New Roman" w:hAnsi="Times New Roman"/>
              </w:rPr>
            </w:pPr>
            <w:r>
              <w:rPr>
                <w:rFonts w:ascii="Times New Roman" w:hAnsi="Times New Roman"/>
                <w:sz w:val="26"/>
                <w:szCs w:val="26"/>
              </w:rPr>
              <w:t xml:space="preserve">US$ 226.7 million </w:t>
            </w:r>
          </w:p>
        </w:tc>
      </w:tr>
      <w:tr>
        <w:trPr/>
        <w:tc>
          <w:tcPr>
            <w:tcW w:w="1007" w:type="dxa"/>
            <w:tcBorders>
              <w:top w:val="single" w:sz="4" w:space="0" w:color="000000"/>
              <w:left w:val="single" w:sz="4" w:space="0" w:color="000000"/>
              <w:bottom w:val="single" w:sz="4" w:space="0" w:color="000000"/>
            </w:tcBorders>
            <w:shd w:color="auto" w:fill="auto" w:val="clear"/>
          </w:tcPr>
          <w:p>
            <w:pPr>
              <w:pStyle w:val="WW-ListParagraph"/>
              <w:widowControl w:val="false"/>
              <w:numPr>
                <w:ilvl w:val="0"/>
                <w:numId w:val="5"/>
              </w:numPr>
              <w:snapToGrid w:val="false"/>
              <w:spacing w:lineRule="auto" w:line="276" w:before="0" w:after="0"/>
              <w:contextualSpacing/>
              <w:jc w:val="both"/>
              <w:rPr>
                <w:rFonts w:ascii="Times New Roman" w:hAnsi="Times New Roman"/>
                <w:sz w:val="26"/>
                <w:szCs w:val="26"/>
              </w:rPr>
            </w:pPr>
            <w:r>
              <w:rPr>
                <w:rFonts w:ascii="Times New Roman" w:hAnsi="Times New Roman"/>
                <w:sz w:val="26"/>
                <w:szCs w:val="26"/>
              </w:rPr>
            </w:r>
          </w:p>
        </w:tc>
        <w:tc>
          <w:tcPr>
            <w:tcW w:w="4794"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76" w:before="0" w:after="160"/>
              <w:jc w:val="both"/>
              <w:rPr>
                <w:rFonts w:ascii="Times New Roman" w:hAnsi="Times New Roman"/>
              </w:rPr>
            </w:pPr>
            <w:r>
              <w:rPr>
                <w:rFonts w:ascii="Times New Roman" w:hAnsi="Times New Roman"/>
                <w:sz w:val="26"/>
                <w:szCs w:val="26"/>
              </w:rPr>
              <w:t>Imports (2021-22)</w:t>
            </w:r>
          </w:p>
        </w:tc>
        <w:tc>
          <w:tcPr>
            <w:tcW w:w="29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before="0" w:after="160"/>
              <w:jc w:val="both"/>
              <w:rPr>
                <w:rFonts w:ascii="Times New Roman" w:hAnsi="Times New Roman"/>
              </w:rPr>
            </w:pPr>
            <w:r>
              <w:rPr>
                <w:rFonts w:ascii="Times New Roman" w:hAnsi="Times New Roman"/>
                <w:sz w:val="26"/>
                <w:szCs w:val="26"/>
              </w:rPr>
              <w:t xml:space="preserve">US$ 10.3 million </w:t>
            </w:r>
          </w:p>
        </w:tc>
      </w:tr>
      <w:tr>
        <w:trPr/>
        <w:tc>
          <w:tcPr>
            <w:tcW w:w="1007" w:type="dxa"/>
            <w:tcBorders>
              <w:top w:val="single" w:sz="4" w:space="0" w:color="000000"/>
              <w:left w:val="single" w:sz="4" w:space="0" w:color="000000"/>
              <w:bottom w:val="single" w:sz="4" w:space="0" w:color="000000"/>
            </w:tcBorders>
            <w:shd w:color="auto" w:fill="auto" w:val="clear"/>
          </w:tcPr>
          <w:p>
            <w:pPr>
              <w:pStyle w:val="WW-ListParagraph"/>
              <w:widowControl w:val="false"/>
              <w:numPr>
                <w:ilvl w:val="0"/>
                <w:numId w:val="5"/>
              </w:numPr>
              <w:snapToGrid w:val="false"/>
              <w:spacing w:lineRule="auto" w:line="276" w:before="0" w:after="0"/>
              <w:contextualSpacing/>
              <w:jc w:val="both"/>
              <w:rPr>
                <w:rFonts w:ascii="Times New Roman" w:hAnsi="Times New Roman"/>
                <w:sz w:val="26"/>
                <w:szCs w:val="26"/>
              </w:rPr>
            </w:pPr>
            <w:r>
              <w:rPr>
                <w:rFonts w:ascii="Times New Roman" w:hAnsi="Times New Roman"/>
                <w:sz w:val="26"/>
                <w:szCs w:val="26"/>
              </w:rPr>
            </w:r>
          </w:p>
        </w:tc>
        <w:tc>
          <w:tcPr>
            <w:tcW w:w="4794"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76" w:before="0" w:after="160"/>
              <w:jc w:val="both"/>
              <w:rPr>
                <w:rFonts w:ascii="Times New Roman" w:hAnsi="Times New Roman"/>
              </w:rPr>
            </w:pPr>
            <w:r>
              <w:rPr>
                <w:rFonts w:ascii="Times New Roman" w:hAnsi="Times New Roman"/>
                <w:sz w:val="26"/>
                <w:szCs w:val="26"/>
              </w:rPr>
              <w:t>Trade surplus (2021-22)</w:t>
            </w:r>
          </w:p>
        </w:tc>
        <w:tc>
          <w:tcPr>
            <w:tcW w:w="29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before="0" w:after="160"/>
              <w:jc w:val="both"/>
              <w:rPr>
                <w:rFonts w:ascii="Times New Roman" w:hAnsi="Times New Roman"/>
              </w:rPr>
            </w:pPr>
            <w:r>
              <w:rPr>
                <w:rFonts w:ascii="Times New Roman" w:hAnsi="Times New Roman"/>
                <w:sz w:val="26"/>
                <w:szCs w:val="26"/>
              </w:rPr>
              <w:t xml:space="preserve">US$ 216.4 million </w:t>
            </w:r>
          </w:p>
        </w:tc>
      </w:tr>
    </w:tbl>
    <w:p>
      <w:pPr>
        <w:pStyle w:val="ListParagraph"/>
        <w:ind w:left="0" w:hanging="0"/>
        <w:jc w:val="right"/>
        <w:rPr>
          <w:rFonts w:ascii="Times New Roman" w:hAnsi="Times New Roman"/>
        </w:rPr>
      </w:pPr>
      <w:r>
        <w:rPr>
          <w:rFonts w:ascii="Times New Roman" w:hAnsi="Times New Roman"/>
          <w:i/>
          <w:iCs/>
          <w:sz w:val="26"/>
          <w:szCs w:val="26"/>
        </w:rPr>
        <w:t>Source: CAPMAS</w:t>
      </w:r>
    </w:p>
    <w:p>
      <w:pPr>
        <w:pStyle w:val="ListParagraph"/>
        <w:numPr>
          <w:ilvl w:val="0"/>
          <w:numId w:val="4"/>
        </w:numPr>
        <w:rPr>
          <w:rFonts w:ascii="Times New Roman" w:hAnsi="Times New Roman"/>
        </w:rPr>
      </w:pPr>
      <w:r>
        <w:rPr>
          <w:rFonts w:ascii="Times New Roman" w:hAnsi="Times New Roman"/>
          <w:b/>
          <w:bCs/>
          <w:sz w:val="26"/>
          <w:szCs w:val="26"/>
        </w:rPr>
        <w:t xml:space="preserve">Service Trade Data  </w:t>
      </w:r>
    </w:p>
    <w:p>
      <w:pPr>
        <w:pStyle w:val="Normal"/>
        <w:jc w:val="right"/>
        <w:rPr>
          <w:rFonts w:ascii="Times New Roman" w:hAnsi="Times New Roman"/>
        </w:rPr>
      </w:pPr>
      <w:r>
        <w:rPr>
          <w:rFonts w:eastAsia="Times New Roman" w:ascii="Times New Roman" w:hAnsi="Times New Roman"/>
          <w:b/>
          <w:bCs/>
          <w:sz w:val="26"/>
          <w:szCs w:val="26"/>
        </w:rPr>
        <w:t xml:space="preserve"> </w:t>
      </w:r>
      <w:r>
        <w:rPr>
          <w:rFonts w:ascii="Times New Roman" w:hAnsi="Times New Roman"/>
          <w:b/>
          <w:bCs/>
          <w:sz w:val="26"/>
          <w:szCs w:val="26"/>
        </w:rPr>
        <w:t>(Value: USD Million)</w:t>
        <w:br/>
      </w:r>
    </w:p>
    <w:tbl>
      <w:tblPr>
        <w:tblW w:w="8950" w:type="dxa"/>
        <w:jc w:val="left"/>
        <w:tblInd w:w="-113" w:type="dxa"/>
        <w:tblLayout w:type="fixed"/>
        <w:tblCellMar>
          <w:top w:w="0" w:type="dxa"/>
          <w:left w:w="10" w:type="dxa"/>
          <w:bottom w:w="0" w:type="dxa"/>
          <w:right w:w="0" w:type="dxa"/>
        </w:tblCellMar>
        <w:tblLook w:val="0000" w:noHBand="0" w:noVBand="0" w:firstColumn="0" w:lastRow="0" w:lastColumn="0" w:firstRow="0"/>
      </w:tblPr>
      <w:tblGrid>
        <w:gridCol w:w="1275"/>
        <w:gridCol w:w="1273"/>
        <w:gridCol w:w="1277"/>
        <w:gridCol w:w="1275"/>
        <w:gridCol w:w="1275"/>
        <w:gridCol w:w="1275"/>
        <w:gridCol w:w="1299"/>
      </w:tblGrid>
      <w:tr>
        <w:trPr>
          <w:trHeight w:val="396" w:hRule="atLeast"/>
          <w:cantSplit w:val="true"/>
        </w:trPr>
        <w:tc>
          <w:tcPr>
            <w:tcW w:w="1275" w:type="dxa"/>
            <w:vMerge w:val="restart"/>
            <w:tcBorders>
              <w:top w:val="single" w:sz="8" w:space="0" w:color="000000"/>
              <w:left w:val="single" w:sz="8" w:space="0" w:color="000000"/>
              <w:bottom w:val="single" w:sz="8" w:space="0" w:color="000000"/>
            </w:tcBorders>
            <w:shd w:color="auto" w:fill="auto" w:val="clear"/>
          </w:tcPr>
          <w:p>
            <w:pPr>
              <w:pStyle w:val="Normal"/>
              <w:widowControl w:val="false"/>
              <w:spacing w:before="0" w:after="160"/>
              <w:jc w:val="center"/>
              <w:rPr>
                <w:rFonts w:ascii="Times New Roman" w:hAnsi="Times New Roman"/>
              </w:rPr>
            </w:pPr>
            <w:r>
              <w:rPr>
                <w:rFonts w:ascii="Times New Roman" w:hAnsi="Times New Roman"/>
                <w:b/>
                <w:bCs/>
                <w:sz w:val="26"/>
                <w:szCs w:val="26"/>
              </w:rPr>
              <w:t>Year</w:t>
            </w:r>
          </w:p>
        </w:tc>
        <w:tc>
          <w:tcPr>
            <w:tcW w:w="1273" w:type="dxa"/>
            <w:vMerge w:val="restart"/>
            <w:tcBorders>
              <w:top w:val="single" w:sz="8" w:space="0" w:color="000000"/>
              <w:left w:val="single" w:sz="8" w:space="0" w:color="000000"/>
              <w:bottom w:val="single" w:sz="8" w:space="0" w:color="000000"/>
            </w:tcBorders>
            <w:shd w:color="auto" w:fill="auto" w:val="clear"/>
          </w:tcPr>
          <w:p>
            <w:pPr>
              <w:pStyle w:val="Normal"/>
              <w:widowControl w:val="false"/>
              <w:spacing w:before="0" w:after="160"/>
              <w:jc w:val="center"/>
              <w:rPr>
                <w:rFonts w:ascii="Times New Roman" w:hAnsi="Times New Roman"/>
              </w:rPr>
            </w:pPr>
            <w:r>
              <w:rPr>
                <w:rFonts w:ascii="Times New Roman" w:hAnsi="Times New Roman"/>
                <w:b/>
                <w:bCs/>
                <w:sz w:val="26"/>
                <w:szCs w:val="26"/>
              </w:rPr>
              <w:t>Exports</w:t>
            </w:r>
          </w:p>
        </w:tc>
        <w:tc>
          <w:tcPr>
            <w:tcW w:w="1277" w:type="dxa"/>
            <w:vMerge w:val="restart"/>
            <w:tcBorders>
              <w:top w:val="single" w:sz="8" w:space="0" w:color="000000"/>
              <w:left w:val="single" w:sz="8" w:space="0" w:color="000000"/>
              <w:bottom w:val="single" w:sz="8" w:space="0" w:color="000000"/>
            </w:tcBorders>
            <w:shd w:color="auto" w:fill="auto" w:val="clear"/>
          </w:tcPr>
          <w:p>
            <w:pPr>
              <w:pStyle w:val="Normal"/>
              <w:widowControl w:val="false"/>
              <w:spacing w:before="0" w:after="160"/>
              <w:jc w:val="center"/>
              <w:rPr>
                <w:rFonts w:ascii="Times New Roman" w:hAnsi="Times New Roman"/>
              </w:rPr>
            </w:pPr>
            <w:r>
              <w:rPr>
                <w:rFonts w:ascii="Times New Roman" w:hAnsi="Times New Roman"/>
                <w:b/>
                <w:bCs/>
                <w:sz w:val="26"/>
                <w:szCs w:val="26"/>
              </w:rPr>
              <w:t>Imports</w:t>
            </w:r>
          </w:p>
        </w:tc>
        <w:tc>
          <w:tcPr>
            <w:tcW w:w="1275" w:type="dxa"/>
            <w:vMerge w:val="restart"/>
            <w:tcBorders>
              <w:top w:val="single" w:sz="8" w:space="0" w:color="000000"/>
              <w:left w:val="single" w:sz="8" w:space="0" w:color="000000"/>
              <w:bottom w:val="single" w:sz="8" w:space="0" w:color="000000"/>
            </w:tcBorders>
            <w:shd w:color="auto" w:fill="auto" w:val="clear"/>
          </w:tcPr>
          <w:p>
            <w:pPr>
              <w:pStyle w:val="Normal"/>
              <w:widowControl w:val="false"/>
              <w:spacing w:before="0" w:after="160"/>
              <w:jc w:val="center"/>
              <w:rPr>
                <w:rFonts w:ascii="Times New Roman" w:hAnsi="Times New Roman"/>
              </w:rPr>
            </w:pPr>
            <w:r>
              <w:rPr>
                <w:rFonts w:ascii="Times New Roman" w:hAnsi="Times New Roman"/>
                <w:b/>
                <w:bCs/>
                <w:sz w:val="26"/>
                <w:szCs w:val="26"/>
              </w:rPr>
              <w:t>Total Trade</w:t>
            </w:r>
          </w:p>
        </w:tc>
        <w:tc>
          <w:tcPr>
            <w:tcW w:w="1275" w:type="dxa"/>
            <w:vMerge w:val="restart"/>
            <w:tcBorders>
              <w:top w:val="single" w:sz="8" w:space="0" w:color="000000"/>
              <w:left w:val="single" w:sz="8" w:space="0" w:color="000000"/>
              <w:bottom w:val="single" w:sz="8" w:space="0" w:color="000000"/>
            </w:tcBorders>
            <w:shd w:color="auto" w:fill="auto" w:val="clear"/>
          </w:tcPr>
          <w:p>
            <w:pPr>
              <w:pStyle w:val="Normal"/>
              <w:widowControl w:val="false"/>
              <w:spacing w:before="0" w:after="160"/>
              <w:jc w:val="center"/>
              <w:rPr>
                <w:rFonts w:ascii="Times New Roman" w:hAnsi="Times New Roman"/>
              </w:rPr>
            </w:pPr>
            <w:r>
              <w:rPr>
                <w:rFonts w:ascii="Times New Roman" w:hAnsi="Times New Roman"/>
                <w:b/>
                <w:bCs/>
                <w:sz w:val="26"/>
                <w:szCs w:val="26"/>
              </w:rPr>
              <w:t>Trade Balance</w:t>
            </w:r>
          </w:p>
        </w:tc>
        <w:tc>
          <w:tcPr>
            <w:tcW w:w="2574" w:type="dxa"/>
            <w:gridSpan w:val="2"/>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spacing w:before="0" w:after="160"/>
              <w:jc w:val="center"/>
              <w:rPr>
                <w:rFonts w:ascii="Times New Roman" w:hAnsi="Times New Roman"/>
              </w:rPr>
            </w:pPr>
            <w:r>
              <w:rPr>
                <w:rFonts w:ascii="Times New Roman" w:hAnsi="Times New Roman"/>
                <w:b/>
                <w:bCs/>
                <w:sz w:val="26"/>
                <w:szCs w:val="26"/>
              </w:rPr>
              <w:t>%Growth</w:t>
            </w:r>
          </w:p>
        </w:tc>
      </w:tr>
      <w:tr>
        <w:trPr>
          <w:trHeight w:val="418" w:hRule="atLeast"/>
          <w:cantSplit w:val="true"/>
        </w:trPr>
        <w:tc>
          <w:tcPr>
            <w:tcW w:w="1275" w:type="dxa"/>
            <w:vMerge w:val="continue"/>
            <w:tcBorders>
              <w:top w:val="single" w:sz="8" w:space="0" w:color="000000"/>
              <w:left w:val="single" w:sz="8" w:space="0" w:color="000000"/>
              <w:bottom w:val="single" w:sz="8" w:space="0" w:color="000000"/>
            </w:tcBorders>
            <w:shd w:color="auto" w:fill="auto" w:val="clear"/>
            <w:vAlign w:val="center"/>
          </w:tcPr>
          <w:p>
            <w:pPr>
              <w:pStyle w:val="Normal"/>
              <w:widowControl w:val="false"/>
              <w:snapToGrid w:val="false"/>
              <w:spacing w:before="0" w:after="160"/>
              <w:rPr>
                <w:rFonts w:ascii="Times New Roman" w:hAnsi="Times New Roman" w:eastAsia="Times New Roman"/>
                <w:b/>
                <w:bCs/>
                <w:sz w:val="26"/>
                <w:szCs w:val="26"/>
              </w:rPr>
            </w:pPr>
            <w:r>
              <w:rPr>
                <w:rFonts w:eastAsia="Times New Roman" w:ascii="Times New Roman" w:hAnsi="Times New Roman"/>
                <w:b/>
                <w:bCs/>
                <w:sz w:val="26"/>
                <w:szCs w:val="26"/>
              </w:rPr>
            </w:r>
          </w:p>
        </w:tc>
        <w:tc>
          <w:tcPr>
            <w:tcW w:w="1273" w:type="dxa"/>
            <w:vMerge w:val="continue"/>
            <w:tcBorders>
              <w:top w:val="single" w:sz="8" w:space="0" w:color="000000"/>
              <w:left w:val="single" w:sz="8" w:space="0" w:color="000000"/>
              <w:bottom w:val="single" w:sz="8" w:space="0" w:color="000000"/>
            </w:tcBorders>
            <w:shd w:color="auto" w:fill="auto" w:val="clear"/>
            <w:vAlign w:val="center"/>
          </w:tcPr>
          <w:p>
            <w:pPr>
              <w:pStyle w:val="Normal"/>
              <w:widowControl w:val="false"/>
              <w:snapToGrid w:val="false"/>
              <w:spacing w:before="0" w:after="160"/>
              <w:rPr>
                <w:rFonts w:ascii="Times New Roman" w:hAnsi="Times New Roman"/>
                <w:b/>
                <w:bCs/>
                <w:sz w:val="26"/>
                <w:szCs w:val="26"/>
              </w:rPr>
            </w:pPr>
            <w:r>
              <w:rPr>
                <w:rFonts w:ascii="Times New Roman" w:hAnsi="Times New Roman"/>
                <w:b/>
                <w:bCs/>
                <w:sz w:val="26"/>
                <w:szCs w:val="26"/>
              </w:rPr>
            </w:r>
          </w:p>
        </w:tc>
        <w:tc>
          <w:tcPr>
            <w:tcW w:w="1277" w:type="dxa"/>
            <w:vMerge w:val="continue"/>
            <w:tcBorders>
              <w:top w:val="single" w:sz="8" w:space="0" w:color="000000"/>
              <w:left w:val="single" w:sz="8" w:space="0" w:color="000000"/>
              <w:bottom w:val="single" w:sz="8" w:space="0" w:color="000000"/>
            </w:tcBorders>
            <w:shd w:color="auto" w:fill="auto" w:val="clear"/>
            <w:vAlign w:val="center"/>
          </w:tcPr>
          <w:p>
            <w:pPr>
              <w:pStyle w:val="Normal"/>
              <w:widowControl w:val="false"/>
              <w:snapToGrid w:val="false"/>
              <w:spacing w:before="0" w:after="160"/>
              <w:rPr>
                <w:rFonts w:ascii="Times New Roman" w:hAnsi="Times New Roman"/>
                <w:b/>
                <w:bCs/>
                <w:sz w:val="26"/>
                <w:szCs w:val="26"/>
              </w:rPr>
            </w:pPr>
            <w:r>
              <w:rPr>
                <w:rFonts w:ascii="Times New Roman" w:hAnsi="Times New Roman"/>
                <w:b/>
                <w:bCs/>
                <w:sz w:val="26"/>
                <w:szCs w:val="26"/>
              </w:rPr>
            </w:r>
          </w:p>
        </w:tc>
        <w:tc>
          <w:tcPr>
            <w:tcW w:w="1275" w:type="dxa"/>
            <w:vMerge w:val="continue"/>
            <w:tcBorders>
              <w:top w:val="single" w:sz="8" w:space="0" w:color="000000"/>
              <w:left w:val="single" w:sz="8" w:space="0" w:color="000000"/>
              <w:bottom w:val="single" w:sz="8" w:space="0" w:color="000000"/>
            </w:tcBorders>
            <w:shd w:color="auto" w:fill="auto" w:val="clear"/>
            <w:vAlign w:val="center"/>
          </w:tcPr>
          <w:p>
            <w:pPr>
              <w:pStyle w:val="Normal"/>
              <w:widowControl w:val="false"/>
              <w:snapToGrid w:val="false"/>
              <w:spacing w:before="0" w:after="160"/>
              <w:rPr>
                <w:rFonts w:ascii="Times New Roman" w:hAnsi="Times New Roman"/>
                <w:b/>
                <w:bCs/>
                <w:sz w:val="26"/>
                <w:szCs w:val="26"/>
              </w:rPr>
            </w:pPr>
            <w:r>
              <w:rPr>
                <w:rFonts w:ascii="Times New Roman" w:hAnsi="Times New Roman"/>
                <w:b/>
                <w:bCs/>
                <w:sz w:val="26"/>
                <w:szCs w:val="26"/>
              </w:rPr>
            </w:r>
          </w:p>
        </w:tc>
        <w:tc>
          <w:tcPr>
            <w:tcW w:w="1275" w:type="dxa"/>
            <w:vMerge w:val="continue"/>
            <w:tcBorders>
              <w:top w:val="single" w:sz="8" w:space="0" w:color="000000"/>
              <w:left w:val="single" w:sz="8" w:space="0" w:color="000000"/>
              <w:bottom w:val="single" w:sz="8" w:space="0" w:color="000000"/>
            </w:tcBorders>
            <w:shd w:color="auto" w:fill="auto" w:val="clear"/>
            <w:vAlign w:val="center"/>
          </w:tcPr>
          <w:p>
            <w:pPr>
              <w:pStyle w:val="Normal"/>
              <w:widowControl w:val="false"/>
              <w:snapToGrid w:val="false"/>
              <w:spacing w:before="0" w:after="160"/>
              <w:rPr>
                <w:rFonts w:ascii="Times New Roman" w:hAnsi="Times New Roman"/>
                <w:b/>
                <w:bCs/>
                <w:sz w:val="26"/>
                <w:szCs w:val="26"/>
              </w:rPr>
            </w:pPr>
            <w:r>
              <w:rPr>
                <w:rFonts w:ascii="Times New Roman" w:hAnsi="Times New Roman"/>
                <w:b/>
                <w:bCs/>
                <w:sz w:val="26"/>
                <w:szCs w:val="26"/>
              </w:rPr>
            </w:r>
          </w:p>
        </w:tc>
        <w:tc>
          <w:tcPr>
            <w:tcW w:w="1275" w:type="dxa"/>
            <w:tcBorders>
              <w:left w:val="single" w:sz="8" w:space="0" w:color="000000"/>
              <w:bottom w:val="single" w:sz="8" w:space="0" w:color="000000"/>
            </w:tcBorders>
            <w:shd w:color="auto" w:fill="auto" w:val="clear"/>
          </w:tcPr>
          <w:p>
            <w:pPr>
              <w:pStyle w:val="Normal"/>
              <w:widowControl w:val="false"/>
              <w:spacing w:before="0" w:after="160"/>
              <w:jc w:val="center"/>
              <w:rPr>
                <w:rFonts w:ascii="Times New Roman" w:hAnsi="Times New Roman"/>
              </w:rPr>
            </w:pPr>
            <w:r>
              <w:rPr>
                <w:rFonts w:ascii="Times New Roman" w:hAnsi="Times New Roman"/>
                <w:sz w:val="26"/>
                <w:szCs w:val="26"/>
              </w:rPr>
              <w:t>Exports</w:t>
            </w:r>
          </w:p>
        </w:tc>
        <w:tc>
          <w:tcPr>
            <w:tcW w:w="1299" w:type="dxa"/>
            <w:tcBorders>
              <w:left w:val="single" w:sz="8" w:space="0" w:color="000000"/>
              <w:bottom w:val="single" w:sz="8" w:space="0" w:color="000000"/>
              <w:right w:val="single" w:sz="8" w:space="0" w:color="000000"/>
            </w:tcBorders>
            <w:shd w:color="auto" w:fill="auto" w:val="clear"/>
          </w:tcPr>
          <w:p>
            <w:pPr>
              <w:pStyle w:val="Normal"/>
              <w:widowControl w:val="false"/>
              <w:spacing w:before="0" w:after="160"/>
              <w:jc w:val="center"/>
              <w:rPr>
                <w:rFonts w:ascii="Times New Roman" w:hAnsi="Times New Roman"/>
              </w:rPr>
            </w:pPr>
            <w:r>
              <w:rPr>
                <w:rFonts w:ascii="Times New Roman" w:hAnsi="Times New Roman"/>
                <w:sz w:val="26"/>
                <w:szCs w:val="26"/>
              </w:rPr>
              <w:t>Imports</w:t>
            </w:r>
          </w:p>
        </w:tc>
      </w:tr>
      <w:tr>
        <w:trPr>
          <w:trHeight w:val="396" w:hRule="atLeast"/>
        </w:trPr>
        <w:tc>
          <w:tcPr>
            <w:tcW w:w="1275" w:type="dxa"/>
            <w:tcBorders>
              <w:left w:val="single" w:sz="8" w:space="0" w:color="000000"/>
              <w:bottom w:val="single" w:sz="8" w:space="0" w:color="000000"/>
            </w:tcBorders>
            <w:shd w:color="auto" w:fill="auto" w:val="clear"/>
          </w:tcPr>
          <w:p>
            <w:pPr>
              <w:pStyle w:val="Normal"/>
              <w:widowControl w:val="false"/>
              <w:spacing w:before="0" w:after="160"/>
              <w:jc w:val="center"/>
              <w:rPr>
                <w:rFonts w:ascii="Times New Roman" w:hAnsi="Times New Roman"/>
              </w:rPr>
            </w:pPr>
            <w:r>
              <w:rPr>
                <w:rFonts w:ascii="Times New Roman" w:hAnsi="Times New Roman"/>
                <w:b/>
                <w:bCs/>
                <w:sz w:val="26"/>
                <w:szCs w:val="26"/>
              </w:rPr>
              <w:t>2018-19</w:t>
            </w:r>
          </w:p>
        </w:tc>
        <w:tc>
          <w:tcPr>
            <w:tcW w:w="1273" w:type="dxa"/>
            <w:tcBorders>
              <w:left w:val="single" w:sz="8" w:space="0" w:color="000000"/>
              <w:bottom w:val="single" w:sz="8" w:space="0" w:color="000000"/>
            </w:tcBorders>
            <w:shd w:color="auto" w:fill="auto" w:val="clear"/>
            <w:vAlign w:val="center"/>
          </w:tcPr>
          <w:p>
            <w:pPr>
              <w:pStyle w:val="Normal"/>
              <w:widowControl w:val="false"/>
              <w:spacing w:before="0" w:after="160"/>
              <w:jc w:val="center"/>
              <w:rPr>
                <w:rFonts w:ascii="Times New Roman" w:hAnsi="Times New Roman"/>
              </w:rPr>
            </w:pPr>
            <w:r>
              <w:rPr>
                <w:rFonts w:ascii="Times New Roman" w:hAnsi="Times New Roman"/>
                <w:sz w:val="26"/>
                <w:szCs w:val="26"/>
              </w:rPr>
              <w:t>248.2</w:t>
            </w:r>
          </w:p>
        </w:tc>
        <w:tc>
          <w:tcPr>
            <w:tcW w:w="1277" w:type="dxa"/>
            <w:tcBorders>
              <w:left w:val="single" w:sz="8" w:space="0" w:color="000000"/>
              <w:bottom w:val="single" w:sz="8" w:space="0" w:color="000000"/>
            </w:tcBorders>
            <w:shd w:color="auto" w:fill="auto" w:val="clear"/>
            <w:vAlign w:val="center"/>
          </w:tcPr>
          <w:p>
            <w:pPr>
              <w:pStyle w:val="Normal"/>
              <w:widowControl w:val="false"/>
              <w:spacing w:before="0" w:after="160"/>
              <w:jc w:val="center"/>
              <w:rPr>
                <w:rFonts w:ascii="Times New Roman" w:hAnsi="Times New Roman"/>
              </w:rPr>
            </w:pPr>
            <w:r>
              <w:rPr>
                <w:rFonts w:ascii="Times New Roman" w:hAnsi="Times New Roman"/>
                <w:sz w:val="26"/>
                <w:szCs w:val="26"/>
              </w:rPr>
              <w:t>1.03</w:t>
            </w:r>
          </w:p>
        </w:tc>
        <w:tc>
          <w:tcPr>
            <w:tcW w:w="1275" w:type="dxa"/>
            <w:tcBorders>
              <w:left w:val="single" w:sz="8" w:space="0" w:color="000000"/>
              <w:bottom w:val="single" w:sz="8" w:space="0" w:color="000000"/>
            </w:tcBorders>
            <w:shd w:color="auto" w:fill="auto" w:val="clear"/>
            <w:vAlign w:val="center"/>
          </w:tcPr>
          <w:p>
            <w:pPr>
              <w:pStyle w:val="Normal"/>
              <w:widowControl w:val="false"/>
              <w:spacing w:before="0" w:after="160"/>
              <w:jc w:val="center"/>
              <w:rPr>
                <w:rFonts w:ascii="Times New Roman" w:hAnsi="Times New Roman"/>
              </w:rPr>
            </w:pPr>
            <w:r>
              <w:rPr>
                <w:rFonts w:ascii="Times New Roman" w:hAnsi="Times New Roman"/>
                <w:sz w:val="26"/>
                <w:szCs w:val="26"/>
              </w:rPr>
              <w:t>249.2</w:t>
            </w:r>
          </w:p>
        </w:tc>
        <w:tc>
          <w:tcPr>
            <w:tcW w:w="1275" w:type="dxa"/>
            <w:tcBorders>
              <w:left w:val="single" w:sz="8" w:space="0" w:color="000000"/>
              <w:bottom w:val="single" w:sz="8" w:space="0" w:color="000000"/>
            </w:tcBorders>
            <w:shd w:color="auto" w:fill="auto" w:val="clear"/>
            <w:vAlign w:val="center"/>
          </w:tcPr>
          <w:p>
            <w:pPr>
              <w:pStyle w:val="Normal"/>
              <w:widowControl w:val="false"/>
              <w:spacing w:before="0" w:after="160"/>
              <w:jc w:val="center"/>
              <w:rPr>
                <w:rFonts w:ascii="Times New Roman" w:hAnsi="Times New Roman"/>
              </w:rPr>
            </w:pPr>
            <w:r>
              <w:rPr>
                <w:rFonts w:ascii="Times New Roman" w:hAnsi="Times New Roman"/>
                <w:sz w:val="26"/>
                <w:szCs w:val="26"/>
              </w:rPr>
              <w:t>247.17</w:t>
            </w:r>
          </w:p>
        </w:tc>
        <w:tc>
          <w:tcPr>
            <w:tcW w:w="1275" w:type="dxa"/>
            <w:tcBorders>
              <w:left w:val="single" w:sz="8" w:space="0" w:color="000000"/>
              <w:bottom w:val="single" w:sz="8" w:space="0" w:color="000000"/>
            </w:tcBorders>
            <w:shd w:color="auto" w:fill="auto" w:val="clear"/>
            <w:vAlign w:val="center"/>
          </w:tcPr>
          <w:p>
            <w:pPr>
              <w:pStyle w:val="Normal"/>
              <w:widowControl w:val="false"/>
              <w:spacing w:before="0" w:after="160"/>
              <w:jc w:val="center"/>
              <w:rPr>
                <w:rFonts w:ascii="Times New Roman" w:hAnsi="Times New Roman"/>
              </w:rPr>
            </w:pPr>
            <w:r>
              <w:rPr>
                <w:rFonts w:ascii="Times New Roman" w:hAnsi="Times New Roman"/>
                <w:sz w:val="26"/>
                <w:szCs w:val="26"/>
              </w:rPr>
              <w:t xml:space="preserve">-15 </w:t>
            </w:r>
          </w:p>
        </w:tc>
        <w:tc>
          <w:tcPr>
            <w:tcW w:w="1299"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before="0" w:after="160"/>
              <w:jc w:val="center"/>
              <w:rPr>
                <w:rFonts w:ascii="Times New Roman" w:hAnsi="Times New Roman"/>
              </w:rPr>
            </w:pPr>
            <w:r>
              <w:rPr>
                <w:rFonts w:ascii="Times New Roman" w:hAnsi="Times New Roman"/>
                <w:sz w:val="26"/>
                <w:szCs w:val="26"/>
              </w:rPr>
              <w:t>27.3</w:t>
            </w:r>
          </w:p>
        </w:tc>
      </w:tr>
      <w:tr>
        <w:trPr>
          <w:trHeight w:val="418" w:hRule="atLeast"/>
        </w:trPr>
        <w:tc>
          <w:tcPr>
            <w:tcW w:w="1275" w:type="dxa"/>
            <w:tcBorders>
              <w:left w:val="single" w:sz="8" w:space="0" w:color="000000"/>
              <w:bottom w:val="single" w:sz="8" w:space="0" w:color="000000"/>
            </w:tcBorders>
            <w:shd w:color="auto" w:fill="auto" w:val="clear"/>
            <w:vAlign w:val="center"/>
          </w:tcPr>
          <w:p>
            <w:pPr>
              <w:pStyle w:val="Normal"/>
              <w:widowControl w:val="false"/>
              <w:spacing w:before="0" w:after="160"/>
              <w:jc w:val="center"/>
              <w:rPr>
                <w:rFonts w:ascii="Times New Roman" w:hAnsi="Times New Roman"/>
              </w:rPr>
            </w:pPr>
            <w:r>
              <w:rPr>
                <w:rFonts w:ascii="Times New Roman" w:hAnsi="Times New Roman"/>
                <w:b/>
                <w:bCs/>
                <w:sz w:val="26"/>
                <w:szCs w:val="26"/>
              </w:rPr>
              <w:t>2019-20</w:t>
            </w:r>
          </w:p>
        </w:tc>
        <w:tc>
          <w:tcPr>
            <w:tcW w:w="1273" w:type="dxa"/>
            <w:tcBorders>
              <w:left w:val="single" w:sz="8" w:space="0" w:color="000000"/>
              <w:bottom w:val="single" w:sz="8" w:space="0" w:color="000000"/>
            </w:tcBorders>
            <w:shd w:color="auto" w:fill="auto" w:val="clear"/>
            <w:vAlign w:val="center"/>
          </w:tcPr>
          <w:p>
            <w:pPr>
              <w:pStyle w:val="Normal"/>
              <w:widowControl w:val="false"/>
              <w:spacing w:before="0" w:after="160"/>
              <w:jc w:val="center"/>
              <w:rPr>
                <w:rFonts w:ascii="Times New Roman" w:hAnsi="Times New Roman"/>
              </w:rPr>
            </w:pPr>
            <w:r>
              <w:rPr>
                <w:rFonts w:ascii="Times New Roman" w:hAnsi="Times New Roman"/>
                <w:sz w:val="26"/>
                <w:szCs w:val="26"/>
              </w:rPr>
              <w:t>205.79</w:t>
            </w:r>
          </w:p>
        </w:tc>
        <w:tc>
          <w:tcPr>
            <w:tcW w:w="1277" w:type="dxa"/>
            <w:tcBorders>
              <w:left w:val="single" w:sz="8" w:space="0" w:color="000000"/>
              <w:bottom w:val="single" w:sz="8" w:space="0" w:color="000000"/>
            </w:tcBorders>
            <w:shd w:color="auto" w:fill="auto" w:val="clear"/>
            <w:vAlign w:val="center"/>
          </w:tcPr>
          <w:p>
            <w:pPr>
              <w:pStyle w:val="Normal"/>
              <w:widowControl w:val="false"/>
              <w:spacing w:lineRule="atLeast" w:line="450" w:before="0" w:after="160"/>
              <w:jc w:val="center"/>
              <w:rPr>
                <w:rFonts w:ascii="Times New Roman" w:hAnsi="Times New Roman"/>
              </w:rPr>
            </w:pPr>
            <w:r>
              <w:rPr>
                <w:rFonts w:ascii="Times New Roman" w:hAnsi="Times New Roman"/>
                <w:sz w:val="26"/>
                <w:szCs w:val="26"/>
              </w:rPr>
              <w:t>1.41</w:t>
            </w:r>
          </w:p>
        </w:tc>
        <w:tc>
          <w:tcPr>
            <w:tcW w:w="1275" w:type="dxa"/>
            <w:tcBorders>
              <w:left w:val="single" w:sz="8" w:space="0" w:color="000000"/>
              <w:bottom w:val="single" w:sz="8" w:space="0" w:color="000000"/>
            </w:tcBorders>
            <w:shd w:color="auto" w:fill="auto" w:val="clear"/>
            <w:vAlign w:val="center"/>
          </w:tcPr>
          <w:p>
            <w:pPr>
              <w:pStyle w:val="Normal"/>
              <w:widowControl w:val="false"/>
              <w:spacing w:before="0" w:after="160"/>
              <w:jc w:val="center"/>
              <w:rPr>
                <w:rFonts w:ascii="Times New Roman" w:hAnsi="Times New Roman"/>
              </w:rPr>
            </w:pPr>
            <w:r>
              <w:rPr>
                <w:rFonts w:ascii="Times New Roman" w:hAnsi="Times New Roman"/>
                <w:sz w:val="26"/>
                <w:szCs w:val="26"/>
              </w:rPr>
              <w:t>207.2</w:t>
            </w:r>
          </w:p>
        </w:tc>
        <w:tc>
          <w:tcPr>
            <w:tcW w:w="1275" w:type="dxa"/>
            <w:tcBorders>
              <w:left w:val="single" w:sz="8" w:space="0" w:color="000000"/>
              <w:bottom w:val="single" w:sz="8" w:space="0" w:color="000000"/>
            </w:tcBorders>
            <w:shd w:color="auto" w:fill="auto" w:val="clear"/>
            <w:vAlign w:val="center"/>
          </w:tcPr>
          <w:p>
            <w:pPr>
              <w:pStyle w:val="Normal"/>
              <w:widowControl w:val="false"/>
              <w:spacing w:before="0" w:after="160"/>
              <w:jc w:val="center"/>
              <w:rPr>
                <w:rFonts w:ascii="Times New Roman" w:hAnsi="Times New Roman"/>
              </w:rPr>
            </w:pPr>
            <w:r>
              <w:rPr>
                <w:rFonts w:ascii="Times New Roman" w:hAnsi="Times New Roman"/>
                <w:sz w:val="26"/>
                <w:szCs w:val="26"/>
              </w:rPr>
              <w:t>204.38</w:t>
            </w:r>
          </w:p>
        </w:tc>
        <w:tc>
          <w:tcPr>
            <w:tcW w:w="1275" w:type="dxa"/>
            <w:tcBorders>
              <w:left w:val="single" w:sz="8" w:space="0" w:color="000000"/>
              <w:bottom w:val="single" w:sz="8" w:space="0" w:color="000000"/>
            </w:tcBorders>
            <w:shd w:color="auto" w:fill="auto" w:val="clear"/>
            <w:vAlign w:val="center"/>
          </w:tcPr>
          <w:p>
            <w:pPr>
              <w:pStyle w:val="Normal"/>
              <w:widowControl w:val="false"/>
              <w:spacing w:before="0" w:after="160"/>
              <w:jc w:val="center"/>
              <w:rPr>
                <w:rFonts w:ascii="Times New Roman" w:hAnsi="Times New Roman"/>
              </w:rPr>
            </w:pPr>
            <w:r>
              <w:rPr>
                <w:rFonts w:ascii="Times New Roman" w:hAnsi="Times New Roman"/>
                <w:sz w:val="26"/>
                <w:szCs w:val="26"/>
              </w:rPr>
              <w:t>-17.1 %</w:t>
            </w:r>
          </w:p>
        </w:tc>
        <w:tc>
          <w:tcPr>
            <w:tcW w:w="1299"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before="0" w:after="160"/>
              <w:jc w:val="center"/>
              <w:rPr>
                <w:rFonts w:ascii="Times New Roman" w:hAnsi="Times New Roman"/>
              </w:rPr>
            </w:pPr>
            <w:r>
              <w:rPr>
                <w:rFonts w:ascii="Times New Roman" w:hAnsi="Times New Roman"/>
                <w:sz w:val="26"/>
                <w:szCs w:val="26"/>
              </w:rPr>
              <w:t xml:space="preserve">36.8 </w:t>
            </w:r>
          </w:p>
        </w:tc>
      </w:tr>
      <w:tr>
        <w:trPr>
          <w:trHeight w:val="418" w:hRule="atLeast"/>
        </w:trPr>
        <w:tc>
          <w:tcPr>
            <w:tcW w:w="1275" w:type="dxa"/>
            <w:tcBorders>
              <w:left w:val="single" w:sz="8" w:space="0" w:color="000000"/>
              <w:bottom w:val="single" w:sz="8" w:space="0" w:color="000000"/>
            </w:tcBorders>
            <w:shd w:color="auto" w:fill="auto" w:val="clear"/>
            <w:vAlign w:val="center"/>
          </w:tcPr>
          <w:p>
            <w:pPr>
              <w:pStyle w:val="Normal"/>
              <w:widowControl w:val="false"/>
              <w:jc w:val="center"/>
              <w:rPr>
                <w:rFonts w:ascii="Times New Roman" w:hAnsi="Times New Roman"/>
                <w:sz w:val="26"/>
                <w:szCs w:val="26"/>
              </w:rPr>
            </w:pPr>
            <w:r>
              <w:rPr>
                <w:rFonts w:ascii="Times New Roman" w:hAnsi="Times New Roman"/>
                <w:b/>
                <w:bCs/>
                <w:sz w:val="26"/>
                <w:szCs w:val="26"/>
              </w:rPr>
              <w:t>2020-21</w:t>
            </w:r>
          </w:p>
          <w:p>
            <w:pPr>
              <w:pStyle w:val="Normal"/>
              <w:widowControl w:val="false"/>
              <w:spacing w:before="0" w:after="160"/>
              <w:jc w:val="center"/>
              <w:rPr>
                <w:rFonts w:ascii="Times New Roman" w:hAnsi="Times New Roman"/>
                <w:b/>
                <w:bCs/>
                <w:sz w:val="26"/>
                <w:szCs w:val="26"/>
              </w:rPr>
            </w:pPr>
            <w:r>
              <w:rPr>
                <w:rFonts w:ascii="Times New Roman" w:hAnsi="Times New Roman"/>
                <w:b/>
                <w:bCs/>
                <w:sz w:val="26"/>
                <w:szCs w:val="26"/>
              </w:rPr>
            </w:r>
          </w:p>
        </w:tc>
        <w:tc>
          <w:tcPr>
            <w:tcW w:w="1273" w:type="dxa"/>
            <w:tcBorders>
              <w:left w:val="single" w:sz="8" w:space="0" w:color="000000"/>
              <w:bottom w:val="single" w:sz="8" w:space="0" w:color="000000"/>
            </w:tcBorders>
            <w:shd w:color="auto" w:fill="auto" w:val="clear"/>
            <w:vAlign w:val="center"/>
          </w:tcPr>
          <w:p>
            <w:pPr>
              <w:pStyle w:val="Normal"/>
              <w:widowControl w:val="false"/>
              <w:spacing w:before="0" w:after="160"/>
              <w:jc w:val="center"/>
              <w:rPr>
                <w:rFonts w:ascii="Times New Roman" w:hAnsi="Times New Roman"/>
                <w:sz w:val="26"/>
                <w:szCs w:val="26"/>
              </w:rPr>
            </w:pPr>
            <w:r>
              <w:rPr>
                <w:rFonts w:ascii="Times New Roman" w:hAnsi="Times New Roman"/>
                <w:sz w:val="26"/>
                <w:szCs w:val="26"/>
              </w:rPr>
              <w:t>186.78</w:t>
            </w:r>
          </w:p>
        </w:tc>
        <w:tc>
          <w:tcPr>
            <w:tcW w:w="1277" w:type="dxa"/>
            <w:tcBorders>
              <w:left w:val="single" w:sz="8" w:space="0" w:color="000000"/>
              <w:bottom w:val="single" w:sz="8" w:space="0" w:color="000000"/>
            </w:tcBorders>
            <w:shd w:color="auto" w:fill="auto" w:val="clear"/>
            <w:vAlign w:val="center"/>
          </w:tcPr>
          <w:p>
            <w:pPr>
              <w:pStyle w:val="Normal"/>
              <w:widowControl w:val="false"/>
              <w:snapToGrid w:val="false"/>
              <w:jc w:val="center"/>
              <w:rPr>
                <w:rFonts w:ascii="Times New Roman" w:hAnsi="Times New Roman"/>
                <w:sz w:val="26"/>
                <w:szCs w:val="26"/>
              </w:rPr>
            </w:pPr>
            <w:r>
              <w:rPr>
                <w:rFonts w:ascii="Times New Roman" w:hAnsi="Times New Roman"/>
                <w:sz w:val="26"/>
                <w:szCs w:val="26"/>
              </w:rPr>
            </w:r>
          </w:p>
          <w:p>
            <w:pPr>
              <w:pStyle w:val="Normal"/>
              <w:widowControl w:val="false"/>
              <w:jc w:val="center"/>
              <w:rPr>
                <w:rFonts w:ascii="Times New Roman" w:hAnsi="Times New Roman"/>
                <w:sz w:val="26"/>
                <w:szCs w:val="26"/>
              </w:rPr>
            </w:pPr>
            <w:r>
              <w:rPr>
                <w:rFonts w:ascii="Times New Roman" w:hAnsi="Times New Roman"/>
                <w:sz w:val="26"/>
                <w:szCs w:val="26"/>
              </w:rPr>
              <w:t>0.4</w:t>
            </w:r>
          </w:p>
          <w:p>
            <w:pPr>
              <w:pStyle w:val="Normal"/>
              <w:widowControl w:val="false"/>
              <w:spacing w:before="0" w:after="160"/>
              <w:jc w:val="center"/>
              <w:rPr>
                <w:rFonts w:ascii="Times New Roman" w:hAnsi="Times New Roman"/>
                <w:sz w:val="26"/>
                <w:szCs w:val="26"/>
              </w:rPr>
            </w:pPr>
            <w:r>
              <w:rPr>
                <w:rFonts w:ascii="Times New Roman" w:hAnsi="Times New Roman"/>
                <w:sz w:val="26"/>
                <w:szCs w:val="26"/>
              </w:rPr>
            </w:r>
          </w:p>
        </w:tc>
        <w:tc>
          <w:tcPr>
            <w:tcW w:w="1275" w:type="dxa"/>
            <w:tcBorders>
              <w:left w:val="single" w:sz="8" w:space="0" w:color="000000"/>
              <w:bottom w:val="single" w:sz="8" w:space="0" w:color="000000"/>
            </w:tcBorders>
            <w:shd w:color="auto" w:fill="auto" w:val="clear"/>
            <w:vAlign w:val="center"/>
          </w:tcPr>
          <w:p>
            <w:pPr>
              <w:pStyle w:val="Normal"/>
              <w:widowControl w:val="false"/>
              <w:spacing w:before="0" w:after="160"/>
              <w:jc w:val="center"/>
              <w:rPr>
                <w:rFonts w:ascii="Times New Roman" w:hAnsi="Times New Roman"/>
                <w:sz w:val="26"/>
                <w:szCs w:val="26"/>
              </w:rPr>
            </w:pPr>
            <w:r>
              <w:rPr>
                <w:rFonts w:ascii="Times New Roman" w:hAnsi="Times New Roman"/>
                <w:sz w:val="26"/>
                <w:szCs w:val="26"/>
              </w:rPr>
              <w:t>187.2</w:t>
            </w:r>
          </w:p>
        </w:tc>
        <w:tc>
          <w:tcPr>
            <w:tcW w:w="1275" w:type="dxa"/>
            <w:tcBorders>
              <w:left w:val="single" w:sz="8" w:space="0" w:color="000000"/>
              <w:bottom w:val="single" w:sz="8" w:space="0" w:color="000000"/>
            </w:tcBorders>
            <w:shd w:color="auto" w:fill="auto" w:val="clear"/>
            <w:vAlign w:val="center"/>
          </w:tcPr>
          <w:p>
            <w:pPr>
              <w:pStyle w:val="Normal"/>
              <w:widowControl w:val="false"/>
              <w:spacing w:before="0" w:after="160"/>
              <w:jc w:val="center"/>
              <w:rPr>
                <w:rFonts w:ascii="Times New Roman" w:hAnsi="Times New Roman"/>
                <w:sz w:val="26"/>
                <w:szCs w:val="26"/>
              </w:rPr>
            </w:pPr>
            <w:r>
              <w:rPr>
                <w:rFonts w:ascii="Times New Roman" w:hAnsi="Times New Roman"/>
                <w:sz w:val="26"/>
                <w:szCs w:val="26"/>
              </w:rPr>
              <w:t>186.38</w:t>
            </w:r>
          </w:p>
        </w:tc>
        <w:tc>
          <w:tcPr>
            <w:tcW w:w="1275" w:type="dxa"/>
            <w:tcBorders>
              <w:left w:val="single" w:sz="8" w:space="0" w:color="000000"/>
              <w:bottom w:val="single" w:sz="8" w:space="0" w:color="000000"/>
            </w:tcBorders>
            <w:shd w:color="auto" w:fill="auto" w:val="clear"/>
            <w:vAlign w:val="center"/>
          </w:tcPr>
          <w:p>
            <w:pPr>
              <w:pStyle w:val="Normal"/>
              <w:widowControl w:val="false"/>
              <w:spacing w:before="0" w:after="160"/>
              <w:jc w:val="center"/>
              <w:rPr>
                <w:rFonts w:ascii="Times New Roman" w:hAnsi="Times New Roman"/>
                <w:sz w:val="26"/>
                <w:szCs w:val="26"/>
              </w:rPr>
            </w:pPr>
            <w:r>
              <w:rPr>
                <w:rFonts w:ascii="Times New Roman" w:hAnsi="Times New Roman"/>
                <w:sz w:val="26"/>
                <w:szCs w:val="26"/>
              </w:rPr>
              <w:t>-9.23 %</w:t>
            </w:r>
          </w:p>
        </w:tc>
        <w:tc>
          <w:tcPr>
            <w:tcW w:w="1299" w:type="dxa"/>
            <w:tcBorders>
              <w:left w:val="single" w:sz="8" w:space="0" w:color="000000"/>
              <w:bottom w:val="single" w:sz="8" w:space="0" w:color="000000"/>
              <w:right w:val="single" w:sz="8" w:space="0" w:color="000000"/>
            </w:tcBorders>
            <w:shd w:color="auto" w:fill="auto" w:val="clear"/>
            <w:vAlign w:val="center"/>
          </w:tcPr>
          <w:p>
            <w:pPr>
              <w:pStyle w:val="Normal"/>
              <w:widowControl w:val="false"/>
              <w:spacing w:before="0" w:after="160"/>
              <w:jc w:val="center"/>
              <w:rPr>
                <w:rFonts w:ascii="Times New Roman" w:hAnsi="Times New Roman"/>
                <w:sz w:val="26"/>
                <w:szCs w:val="26"/>
              </w:rPr>
            </w:pPr>
            <w:r>
              <w:rPr>
                <w:rFonts w:ascii="Times New Roman" w:hAnsi="Times New Roman"/>
                <w:sz w:val="26"/>
                <w:szCs w:val="26"/>
              </w:rPr>
              <w:t xml:space="preserve">-71.6  </w:t>
            </w:r>
          </w:p>
        </w:tc>
      </w:tr>
      <w:tr>
        <w:trPr>
          <w:trHeight w:val="396" w:hRule="atLeast"/>
        </w:trPr>
        <w:tc>
          <w:tcPr>
            <w:tcW w:w="1275" w:type="dxa"/>
            <w:tcBorders>
              <w:left w:val="single" w:sz="8" w:space="0" w:color="000000"/>
              <w:bottom w:val="single" w:sz="8" w:space="0" w:color="000000"/>
            </w:tcBorders>
            <w:shd w:color="auto" w:fill="auto" w:val="clear"/>
            <w:vAlign w:val="bottom"/>
          </w:tcPr>
          <w:p>
            <w:pPr>
              <w:pStyle w:val="Normal"/>
              <w:widowControl w:val="false"/>
              <w:jc w:val="center"/>
              <w:rPr>
                <w:rFonts w:ascii="Times New Roman" w:hAnsi="Times New Roman"/>
                <w:sz w:val="26"/>
                <w:szCs w:val="26"/>
              </w:rPr>
            </w:pPr>
            <w:r>
              <w:rPr>
                <w:rFonts w:ascii="Times New Roman" w:hAnsi="Times New Roman"/>
                <w:b/>
                <w:bCs/>
                <w:sz w:val="26"/>
                <w:szCs w:val="26"/>
              </w:rPr>
              <w:t>2021-22</w:t>
            </w:r>
          </w:p>
          <w:p>
            <w:pPr>
              <w:pStyle w:val="Normal"/>
              <w:widowControl w:val="false"/>
              <w:spacing w:before="0" w:after="160"/>
              <w:rPr>
                <w:rFonts w:ascii="Times New Roman" w:hAnsi="Times New Roman"/>
                <w:sz w:val="26"/>
                <w:szCs w:val="26"/>
              </w:rPr>
            </w:pPr>
            <w:r>
              <w:rPr>
                <w:rFonts w:ascii="Times New Roman" w:hAnsi="Times New Roman"/>
                <w:sz w:val="26"/>
                <w:szCs w:val="26"/>
              </w:rPr>
            </w:r>
          </w:p>
        </w:tc>
        <w:tc>
          <w:tcPr>
            <w:tcW w:w="1273" w:type="dxa"/>
            <w:tcBorders>
              <w:left w:val="single" w:sz="8" w:space="0" w:color="000000"/>
              <w:bottom w:val="single" w:sz="8" w:space="0" w:color="000000"/>
            </w:tcBorders>
            <w:shd w:color="auto" w:fill="auto" w:val="clear"/>
            <w:vAlign w:val="center"/>
          </w:tcPr>
          <w:p>
            <w:pPr>
              <w:pStyle w:val="Normal"/>
              <w:widowControl w:val="false"/>
              <w:spacing w:before="0" w:after="160"/>
              <w:jc w:val="center"/>
              <w:rPr>
                <w:rFonts w:ascii="Times New Roman" w:hAnsi="Times New Roman"/>
                <w:sz w:val="26"/>
                <w:szCs w:val="26"/>
              </w:rPr>
            </w:pPr>
            <w:r>
              <w:rPr>
                <w:rFonts w:ascii="Times New Roman" w:hAnsi="Times New Roman"/>
                <w:sz w:val="26"/>
                <w:szCs w:val="26"/>
              </w:rPr>
              <w:t>226.7</w:t>
            </w:r>
          </w:p>
        </w:tc>
        <w:tc>
          <w:tcPr>
            <w:tcW w:w="1277" w:type="dxa"/>
            <w:tcBorders>
              <w:left w:val="single" w:sz="8" w:space="0" w:color="000000"/>
              <w:bottom w:val="single" w:sz="8" w:space="0" w:color="000000"/>
            </w:tcBorders>
            <w:shd w:color="auto" w:fill="auto" w:val="clear"/>
            <w:vAlign w:val="center"/>
          </w:tcPr>
          <w:p>
            <w:pPr>
              <w:pStyle w:val="Normal"/>
              <w:widowControl w:val="false"/>
              <w:spacing w:before="0" w:after="160"/>
              <w:jc w:val="center"/>
              <w:rPr>
                <w:rFonts w:ascii="Times New Roman" w:hAnsi="Times New Roman"/>
                <w:sz w:val="26"/>
                <w:szCs w:val="26"/>
              </w:rPr>
            </w:pPr>
            <w:r>
              <w:rPr>
                <w:rFonts w:ascii="Times New Roman" w:hAnsi="Times New Roman"/>
                <w:sz w:val="26"/>
                <w:szCs w:val="26"/>
              </w:rPr>
              <w:t>10.3</w:t>
            </w:r>
          </w:p>
        </w:tc>
        <w:tc>
          <w:tcPr>
            <w:tcW w:w="1275" w:type="dxa"/>
            <w:tcBorders>
              <w:left w:val="single" w:sz="8" w:space="0" w:color="000000"/>
              <w:bottom w:val="single" w:sz="8" w:space="0" w:color="000000"/>
            </w:tcBorders>
            <w:shd w:color="auto" w:fill="auto" w:val="clear"/>
            <w:vAlign w:val="center"/>
          </w:tcPr>
          <w:p>
            <w:pPr>
              <w:pStyle w:val="Normal"/>
              <w:widowControl w:val="false"/>
              <w:spacing w:before="0" w:after="160"/>
              <w:jc w:val="center"/>
              <w:rPr>
                <w:rFonts w:ascii="Times New Roman" w:hAnsi="Times New Roman"/>
                <w:sz w:val="26"/>
                <w:szCs w:val="26"/>
              </w:rPr>
            </w:pPr>
            <w:r>
              <w:rPr>
                <w:rFonts w:ascii="Times New Roman" w:hAnsi="Times New Roman"/>
                <w:sz w:val="26"/>
                <w:szCs w:val="26"/>
              </w:rPr>
              <w:t>237</w:t>
            </w:r>
          </w:p>
        </w:tc>
        <w:tc>
          <w:tcPr>
            <w:tcW w:w="1275" w:type="dxa"/>
            <w:tcBorders>
              <w:left w:val="single" w:sz="8" w:space="0" w:color="000000"/>
              <w:bottom w:val="single" w:sz="8" w:space="0" w:color="000000"/>
            </w:tcBorders>
            <w:shd w:color="auto" w:fill="auto" w:val="clear"/>
            <w:vAlign w:val="center"/>
          </w:tcPr>
          <w:p>
            <w:pPr>
              <w:pStyle w:val="Normal"/>
              <w:widowControl w:val="false"/>
              <w:spacing w:before="0" w:after="160"/>
              <w:jc w:val="center"/>
              <w:rPr>
                <w:rFonts w:ascii="Times New Roman" w:hAnsi="Times New Roman"/>
                <w:sz w:val="26"/>
                <w:szCs w:val="26"/>
              </w:rPr>
            </w:pPr>
            <w:r>
              <w:rPr>
                <w:rFonts w:ascii="Times New Roman" w:hAnsi="Times New Roman"/>
                <w:sz w:val="26"/>
                <w:szCs w:val="26"/>
              </w:rPr>
              <w:t>216.4</w:t>
            </w:r>
          </w:p>
        </w:tc>
        <w:tc>
          <w:tcPr>
            <w:tcW w:w="1275" w:type="dxa"/>
            <w:tcBorders>
              <w:left w:val="single" w:sz="8" w:space="0" w:color="000000"/>
              <w:bottom w:val="single" w:sz="8" w:space="0" w:color="000000"/>
            </w:tcBorders>
            <w:shd w:color="auto" w:fill="auto" w:val="clear"/>
            <w:vAlign w:val="center"/>
          </w:tcPr>
          <w:p>
            <w:pPr>
              <w:pStyle w:val="Normal"/>
              <w:widowControl w:val="false"/>
              <w:snapToGrid w:val="false"/>
              <w:spacing w:before="0" w:after="160"/>
              <w:jc w:val="center"/>
              <w:rPr>
                <w:rFonts w:ascii="Times New Roman" w:hAnsi="Times New Roman"/>
                <w:sz w:val="26"/>
                <w:szCs w:val="26"/>
              </w:rPr>
            </w:pPr>
            <w:r>
              <w:rPr>
                <w:rFonts w:ascii="Times New Roman" w:hAnsi="Times New Roman"/>
                <w:sz w:val="26"/>
                <w:szCs w:val="26"/>
              </w:rPr>
              <w:t>21.3</w:t>
            </w:r>
          </w:p>
        </w:tc>
        <w:tc>
          <w:tcPr>
            <w:tcW w:w="1299" w:type="dxa"/>
            <w:tcBorders>
              <w:left w:val="single" w:sz="8" w:space="0" w:color="000000"/>
              <w:bottom w:val="single" w:sz="8" w:space="0" w:color="000000"/>
              <w:right w:val="single" w:sz="8" w:space="0" w:color="000000"/>
            </w:tcBorders>
            <w:shd w:color="auto" w:fill="auto" w:val="clear"/>
            <w:vAlign w:val="center"/>
          </w:tcPr>
          <w:p>
            <w:pPr>
              <w:pStyle w:val="Normal"/>
              <w:widowControl w:val="false"/>
              <w:snapToGrid w:val="false"/>
              <w:spacing w:before="0" w:after="160"/>
              <w:jc w:val="center"/>
              <w:rPr>
                <w:rFonts w:ascii="Times New Roman" w:hAnsi="Times New Roman"/>
                <w:sz w:val="26"/>
                <w:szCs w:val="26"/>
              </w:rPr>
            </w:pPr>
            <w:r>
              <w:rPr>
                <w:rFonts w:ascii="Times New Roman" w:hAnsi="Times New Roman"/>
                <w:sz w:val="26"/>
                <w:szCs w:val="26"/>
              </w:rPr>
              <w:t>2400</w:t>
            </w:r>
          </w:p>
        </w:tc>
      </w:tr>
      <w:tr>
        <w:trPr>
          <w:trHeight w:val="396" w:hRule="atLeast"/>
        </w:trPr>
        <w:tc>
          <w:tcPr>
            <w:tcW w:w="8949" w:type="dxa"/>
            <w:gridSpan w:val="7"/>
            <w:tcBorders>
              <w:left w:val="single" w:sz="8" w:space="0" w:color="000000"/>
              <w:bottom w:val="single" w:sz="8" w:space="0" w:color="000000"/>
              <w:right w:val="single" w:sz="8" w:space="0" w:color="000000"/>
            </w:tcBorders>
            <w:shd w:color="auto" w:fill="auto" w:val="clear"/>
          </w:tcPr>
          <w:p>
            <w:pPr>
              <w:pStyle w:val="Normal"/>
              <w:widowControl w:val="false"/>
              <w:spacing w:before="0" w:after="160"/>
              <w:jc w:val="right"/>
              <w:rPr>
                <w:rFonts w:ascii="Times New Roman" w:hAnsi="Times New Roman"/>
              </w:rPr>
            </w:pPr>
            <w:r>
              <w:rPr>
                <w:rFonts w:ascii="Times New Roman" w:hAnsi="Times New Roman"/>
                <w:i/>
                <w:iCs/>
                <w:sz w:val="26"/>
                <w:szCs w:val="26"/>
              </w:rPr>
              <w:t>Source: CAPMAS</w:t>
            </w:r>
          </w:p>
        </w:tc>
      </w:tr>
    </w:tbl>
    <w:p>
      <w:pPr>
        <w:pStyle w:val="Normal"/>
        <w:jc w:val="both"/>
        <w:rPr>
          <w:rFonts w:ascii="Times New Roman" w:hAnsi="Times New Roman"/>
          <w:b/>
          <w:sz w:val="26"/>
          <w:szCs w:val="26"/>
        </w:rPr>
      </w:pPr>
      <w:r>
        <w:rPr>
          <w:rFonts w:ascii="Times New Roman" w:hAnsi="Times New Roman"/>
          <w:b/>
          <w:sz w:val="26"/>
          <w:szCs w:val="26"/>
        </w:rPr>
      </w:r>
    </w:p>
    <w:p>
      <w:pPr>
        <w:pStyle w:val="ListParagraph"/>
        <w:numPr>
          <w:ilvl w:val="0"/>
          <w:numId w:val="4"/>
        </w:numPr>
        <w:spacing w:before="0" w:after="0"/>
        <w:contextualSpacing/>
        <w:jc w:val="both"/>
        <w:rPr>
          <w:rFonts w:ascii="Times New Roman" w:hAnsi="Times New Roman"/>
        </w:rPr>
      </w:pPr>
      <w:r>
        <w:rPr>
          <w:rFonts w:ascii="Times New Roman" w:hAnsi="Times New Roman"/>
          <w:b/>
          <w:sz w:val="26"/>
          <w:szCs w:val="26"/>
        </w:rPr>
        <w:t>Top sectors of services Export</w:t>
      </w:r>
      <w:r>
        <w:rPr>
          <w:rFonts w:ascii="Times New Roman" w:hAnsi="Times New Roman"/>
          <w:sz w:val="26"/>
          <w:szCs w:val="26"/>
        </w:rPr>
        <w:t xml:space="preserve">: </w:t>
      </w:r>
    </w:p>
    <w:p>
      <w:pPr>
        <w:pStyle w:val="Normal"/>
        <w:spacing w:before="0" w:after="0"/>
        <w:ind w:left="720" w:firstLine="720"/>
        <w:jc w:val="both"/>
        <w:rPr>
          <w:rFonts w:ascii="Times New Roman" w:hAnsi="Times New Roman"/>
        </w:rPr>
      </w:pPr>
      <w:r>
        <w:rPr>
          <w:rFonts w:ascii="Times New Roman" w:hAnsi="Times New Roman"/>
          <w:sz w:val="26"/>
          <w:szCs w:val="26"/>
        </w:rPr>
        <w:t>Machinery Software (79%)</w:t>
      </w:r>
    </w:p>
    <w:p>
      <w:pPr>
        <w:pStyle w:val="Normal"/>
        <w:spacing w:before="0" w:after="0"/>
        <w:ind w:left="720" w:firstLine="720"/>
        <w:jc w:val="both"/>
        <w:rPr>
          <w:rFonts w:ascii="Times New Roman" w:hAnsi="Times New Roman"/>
        </w:rPr>
      </w:pPr>
      <w:r>
        <w:rPr>
          <w:rFonts w:ascii="Times New Roman" w:hAnsi="Times New Roman"/>
          <w:sz w:val="26"/>
          <w:szCs w:val="26"/>
        </w:rPr>
        <w:t>Pharmaceutical services (18.1%)</w:t>
      </w:r>
    </w:p>
    <w:p>
      <w:pPr>
        <w:pStyle w:val="Normal"/>
        <w:spacing w:before="0" w:after="0"/>
        <w:ind w:left="720" w:firstLine="720"/>
        <w:jc w:val="both"/>
        <w:rPr>
          <w:rFonts w:ascii="Times New Roman" w:hAnsi="Times New Roman"/>
          <w:sz w:val="26"/>
          <w:szCs w:val="26"/>
        </w:rPr>
      </w:pPr>
      <w:r>
        <w:rPr>
          <w:rFonts w:ascii="Times New Roman" w:hAnsi="Times New Roman"/>
          <w:sz w:val="26"/>
          <w:szCs w:val="26"/>
        </w:rPr>
      </w:r>
    </w:p>
    <w:p>
      <w:pPr>
        <w:pStyle w:val="ListParagraph"/>
        <w:numPr>
          <w:ilvl w:val="0"/>
          <w:numId w:val="4"/>
        </w:numPr>
        <w:spacing w:lineRule="auto" w:line="360" w:before="0" w:after="0"/>
        <w:contextualSpacing/>
        <w:jc w:val="both"/>
        <w:rPr>
          <w:rFonts w:ascii="Times New Roman" w:hAnsi="Times New Roman"/>
        </w:rPr>
      </w:pPr>
      <w:r>
        <w:rPr>
          <w:rFonts w:ascii="Times New Roman" w:hAnsi="Times New Roman"/>
          <w:b/>
          <w:sz w:val="26"/>
          <w:szCs w:val="26"/>
        </w:rPr>
        <w:t xml:space="preserve">Top sectors of services Import: </w:t>
      </w:r>
    </w:p>
    <w:p>
      <w:pPr>
        <w:pStyle w:val="Normal"/>
        <w:spacing w:before="0" w:after="0"/>
        <w:ind w:left="720" w:firstLine="720"/>
        <w:jc w:val="both"/>
        <w:rPr>
          <w:rFonts w:ascii="Times New Roman" w:hAnsi="Times New Roman"/>
        </w:rPr>
      </w:pPr>
      <w:r>
        <w:rPr>
          <w:rFonts w:ascii="Times New Roman" w:hAnsi="Times New Roman"/>
          <w:sz w:val="26"/>
          <w:szCs w:val="26"/>
        </w:rPr>
        <w:t>Pharmaceutical services (90.2%)</w:t>
      </w:r>
    </w:p>
    <w:p>
      <w:pPr>
        <w:pStyle w:val="Normal"/>
        <w:spacing w:before="0" w:after="0"/>
        <w:ind w:left="720" w:firstLine="720"/>
        <w:jc w:val="both"/>
        <w:rPr>
          <w:rFonts w:ascii="Times New Roman" w:hAnsi="Times New Roman"/>
        </w:rPr>
      </w:pPr>
      <w:bookmarkStart w:id="0" w:name="_Hlk87018874"/>
      <w:bookmarkEnd w:id="0"/>
      <w:r>
        <w:rPr>
          <w:rFonts w:ascii="Times New Roman" w:hAnsi="Times New Roman"/>
          <w:sz w:val="26"/>
          <w:szCs w:val="26"/>
        </w:rPr>
        <w:t>Machinery Software (5.8%)</w:t>
      </w:r>
    </w:p>
    <w:p>
      <w:pPr>
        <w:pStyle w:val="ListParagraph"/>
        <w:spacing w:before="0" w:after="0"/>
        <w:ind w:left="720" w:firstLine="720"/>
        <w:contextualSpacing/>
        <w:rPr>
          <w:rFonts w:ascii="Times New Roman" w:hAnsi="Times New Roman"/>
          <w:sz w:val="26"/>
          <w:szCs w:val="26"/>
        </w:rPr>
      </w:pPr>
      <w:r>
        <w:rPr>
          <w:rFonts w:ascii="Times New Roman" w:hAnsi="Times New Roman"/>
          <w:sz w:val="26"/>
          <w:szCs w:val="26"/>
        </w:rPr>
      </w:r>
      <w:bookmarkStart w:id="1" w:name="_Hlk87018874_Copy_1"/>
      <w:bookmarkStart w:id="2" w:name="_Hlk87018874_Copy_1"/>
      <w:bookmarkEnd w:id="2"/>
    </w:p>
    <w:p>
      <w:pPr>
        <w:pStyle w:val="ListParagraph"/>
        <w:numPr>
          <w:ilvl w:val="0"/>
          <w:numId w:val="4"/>
        </w:numPr>
        <w:spacing w:lineRule="auto" w:line="360" w:before="0" w:after="0"/>
        <w:contextualSpacing/>
        <w:jc w:val="both"/>
        <w:rPr>
          <w:rFonts w:ascii="Times New Roman" w:hAnsi="Times New Roman"/>
        </w:rPr>
      </w:pPr>
      <w:r>
        <w:rPr>
          <w:rFonts w:ascii="Times New Roman" w:hAnsi="Times New Roman"/>
          <w:b/>
          <w:sz w:val="26"/>
          <w:szCs w:val="26"/>
        </w:rPr>
        <w:t>Potential Services exports from India to Egypt</w:t>
      </w:r>
    </w:p>
    <w:p>
      <w:pPr>
        <w:pStyle w:val="Normal"/>
        <w:spacing w:before="0" w:after="0"/>
        <w:ind w:left="1440" w:hanging="0"/>
        <w:rPr>
          <w:rFonts w:ascii="Times New Roman" w:hAnsi="Times New Roman"/>
        </w:rPr>
      </w:pPr>
      <w:r>
        <w:rPr>
          <w:rFonts w:ascii="Times New Roman" w:hAnsi="Times New Roman"/>
          <w:sz w:val="26"/>
          <w:szCs w:val="26"/>
        </w:rPr>
        <w:t>Telecommunication and Computer Services</w:t>
      </w:r>
    </w:p>
    <w:p>
      <w:pPr>
        <w:pStyle w:val="Normal"/>
        <w:spacing w:before="0" w:after="0"/>
        <w:ind w:left="1440" w:hanging="0"/>
        <w:rPr>
          <w:rFonts w:ascii="Times New Roman" w:hAnsi="Times New Roman"/>
        </w:rPr>
      </w:pPr>
      <w:r>
        <w:rPr>
          <w:rFonts w:ascii="Times New Roman" w:hAnsi="Times New Roman"/>
          <w:color w:val="000000"/>
          <w:sz w:val="26"/>
          <w:szCs w:val="26"/>
          <w:lang w:val="en-GB"/>
        </w:rPr>
        <w:t xml:space="preserve">Education-related </w:t>
      </w:r>
      <w:r>
        <w:rPr>
          <w:rFonts w:ascii="Times New Roman" w:hAnsi="Times New Roman"/>
          <w:sz w:val="26"/>
          <w:szCs w:val="26"/>
        </w:rPr>
        <w:t>Services</w:t>
        <w:br/>
        <w:t>Fin-tech</w:t>
      </w:r>
    </w:p>
    <w:p>
      <w:pPr>
        <w:pStyle w:val="Normal"/>
        <w:rPr>
          <w:rFonts w:ascii="Times New Roman" w:hAnsi="Times New Roman"/>
          <w:sz w:val="26"/>
          <w:szCs w:val="26"/>
        </w:rPr>
      </w:pPr>
      <w:r>
        <w:rPr>
          <w:rFonts w:ascii="Times New Roman" w:hAnsi="Times New Roman"/>
          <w:sz w:val="26"/>
          <w:szCs w:val="26"/>
        </w:rPr>
      </w:r>
    </w:p>
    <w:p>
      <w:pPr>
        <w:pStyle w:val="ListParagraph"/>
        <w:numPr>
          <w:ilvl w:val="0"/>
          <w:numId w:val="15"/>
        </w:numPr>
        <w:rPr>
          <w:rFonts w:ascii="Times New Roman" w:hAnsi="Times New Roman"/>
        </w:rPr>
      </w:pPr>
      <w:r>
        <w:rPr>
          <w:rFonts w:ascii="Times New Roman" w:hAnsi="Times New Roman"/>
          <w:b/>
          <w:sz w:val="26"/>
          <w:szCs w:val="26"/>
          <w:u w:val="single"/>
          <w:lang w:val="en-GB"/>
        </w:rPr>
        <w:t>Market Access Issues:</w:t>
      </w:r>
    </w:p>
    <w:p>
      <w:pPr>
        <w:pStyle w:val="Normal"/>
        <w:jc w:val="both"/>
        <w:rPr>
          <w:rFonts w:ascii="Times New Roman" w:hAnsi="Times New Roman"/>
        </w:rPr>
      </w:pPr>
      <w:r>
        <w:rPr>
          <w:rFonts w:ascii="Times New Roman" w:hAnsi="Times New Roman"/>
          <w:bCs/>
          <w:sz w:val="26"/>
          <w:szCs w:val="26"/>
          <w:lang w:val="en-GB"/>
        </w:rPr>
        <w:t>Market access for Indian Cotton, Date palm &amp; Coconut seedlings are explained in point No. 8</w:t>
      </w:r>
    </w:p>
    <w:p>
      <w:pPr>
        <w:pStyle w:val="ListParagraph"/>
        <w:numPr>
          <w:ilvl w:val="0"/>
          <w:numId w:val="15"/>
        </w:numPr>
        <w:rPr>
          <w:rFonts w:ascii="Times New Roman" w:hAnsi="Times New Roman"/>
        </w:rPr>
      </w:pPr>
      <w:r>
        <w:rPr>
          <w:rFonts w:ascii="Times New Roman" w:hAnsi="Times New Roman"/>
          <w:b/>
          <w:sz w:val="26"/>
          <w:szCs w:val="26"/>
          <w:u w:val="single"/>
          <w:lang w:val="en-GB"/>
        </w:rPr>
        <w:t>Non-Tariff Barriers:</w:t>
      </w:r>
    </w:p>
    <w:tbl>
      <w:tblPr>
        <w:tblW w:w="9995" w:type="dxa"/>
        <w:jc w:val="left"/>
        <w:tblInd w:w="-30" w:type="dxa"/>
        <w:tblLayout w:type="fixed"/>
        <w:tblCellMar>
          <w:top w:w="0" w:type="dxa"/>
          <w:left w:w="83" w:type="dxa"/>
          <w:bottom w:w="0" w:type="dxa"/>
          <w:right w:w="108" w:type="dxa"/>
        </w:tblCellMar>
        <w:tblLook w:val="0000" w:noHBand="0" w:noVBand="0" w:firstColumn="0" w:lastRow="0" w:lastColumn="0" w:firstRow="0"/>
      </w:tblPr>
      <w:tblGrid>
        <w:gridCol w:w="830"/>
        <w:gridCol w:w="1288"/>
        <w:gridCol w:w="5323"/>
        <w:gridCol w:w="2553"/>
      </w:tblGrid>
      <w:tr>
        <w:trPr/>
        <w:tc>
          <w:tcPr>
            <w:tcW w:w="830"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b/>
                <w:bCs/>
                <w:sz w:val="26"/>
                <w:szCs w:val="26"/>
                <w:lang w:bidi="hi-IN"/>
              </w:rPr>
              <w:t>Sr</w:t>
            </w:r>
          </w:p>
        </w:tc>
        <w:tc>
          <w:tcPr>
            <w:tcW w:w="1288"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b/>
                <w:bCs/>
                <w:sz w:val="26"/>
                <w:szCs w:val="26"/>
                <w:lang w:bidi="hi-IN"/>
              </w:rPr>
              <w:t>Issue</w:t>
            </w:r>
          </w:p>
        </w:tc>
        <w:tc>
          <w:tcPr>
            <w:tcW w:w="5323"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b/>
                <w:bCs/>
                <w:sz w:val="26"/>
                <w:szCs w:val="26"/>
                <w:lang w:bidi="hi-IN"/>
              </w:rPr>
              <w:t>Action Taken</w:t>
            </w:r>
          </w:p>
        </w:tc>
        <w:tc>
          <w:tcPr>
            <w:tcW w:w="25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rPr>
            </w:pPr>
            <w:r>
              <w:rPr>
                <w:rFonts w:ascii="Times New Roman" w:hAnsi="Times New Roman"/>
                <w:b/>
                <w:bCs/>
                <w:sz w:val="26"/>
                <w:szCs w:val="26"/>
                <w:lang w:bidi="hi-IN"/>
              </w:rPr>
              <w:t>Feedback/Reciprocal Measures</w:t>
            </w:r>
          </w:p>
        </w:tc>
      </w:tr>
      <w:tr>
        <w:trPr>
          <w:trHeight w:val="620" w:hRule="atLeast"/>
        </w:trPr>
        <w:tc>
          <w:tcPr>
            <w:tcW w:w="830"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sz w:val="26"/>
                <w:szCs w:val="26"/>
                <w:lang w:bidi="hi-IN"/>
              </w:rPr>
              <w:t>1</w:t>
            </w:r>
          </w:p>
        </w:tc>
        <w:tc>
          <w:tcPr>
            <w:tcW w:w="1288"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sz w:val="26"/>
                <w:szCs w:val="26"/>
                <w:lang w:bidi="hi-IN"/>
              </w:rPr>
              <w:t>Export of Raw Cotton from India to Egypt</w:t>
            </w:r>
          </w:p>
        </w:tc>
        <w:tc>
          <w:tcPr>
            <w:tcW w:w="5323"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sz w:val="26"/>
                <w:szCs w:val="26"/>
                <w:lang w:bidi="hi-IN"/>
              </w:rPr>
              <w:t>Export of raw cotton to Egypt from India is currently banned due to phytosanitary concerns. During the JWG on Trade and Investment between India and Egypt on 03</w:t>
            </w:r>
            <w:r>
              <w:rPr>
                <w:rFonts w:ascii="Times New Roman" w:hAnsi="Times New Roman"/>
                <w:sz w:val="26"/>
                <w:szCs w:val="26"/>
                <w:vertAlign w:val="superscript"/>
                <w:lang w:bidi="hi-IN"/>
              </w:rPr>
              <w:t>rd</w:t>
            </w:r>
            <w:r>
              <w:rPr>
                <w:rFonts w:ascii="Times New Roman" w:hAnsi="Times New Roman"/>
                <w:sz w:val="26"/>
                <w:szCs w:val="26"/>
                <w:lang w:bidi="hi-IN"/>
              </w:rPr>
              <w:t xml:space="preserve"> March 2021, the Egyptian side stated they will have to visit India to complete the Pest Risk Analysis (PRA) exercise.</w:t>
            </w:r>
          </w:p>
        </w:tc>
        <w:tc>
          <w:tcPr>
            <w:tcW w:w="25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bCs/>
                <w:sz w:val="26"/>
                <w:szCs w:val="26"/>
                <w:lang w:bidi="hi-IN"/>
              </w:rPr>
              <w:t>Egyptian visits to India for inspection are awaited</w:t>
            </w:r>
            <w:r>
              <w:rPr>
                <w:rFonts w:ascii="Times New Roman" w:hAnsi="Times New Roman"/>
                <w:sz w:val="26"/>
                <w:szCs w:val="26"/>
                <w:lang w:bidi="hi-IN"/>
              </w:rPr>
              <w:t xml:space="preserve"> </w:t>
            </w:r>
          </w:p>
          <w:p>
            <w:pPr>
              <w:pStyle w:val="Normal"/>
              <w:widowControl w:val="false"/>
              <w:spacing w:lineRule="auto" w:line="240" w:before="0" w:after="0"/>
              <w:rPr>
                <w:rFonts w:ascii="Times New Roman" w:hAnsi="Times New Roman"/>
                <w:sz w:val="26"/>
                <w:szCs w:val="26"/>
                <w:lang w:bidi="hi-IN"/>
              </w:rPr>
            </w:pPr>
            <w:r>
              <w:rPr>
                <w:rFonts w:ascii="Times New Roman" w:hAnsi="Times New Roman"/>
                <w:sz w:val="26"/>
                <w:szCs w:val="26"/>
                <w:lang w:bidi="hi-IN"/>
              </w:rPr>
            </w:r>
          </w:p>
          <w:p>
            <w:pPr>
              <w:pStyle w:val="Normal"/>
              <w:widowControl w:val="false"/>
              <w:spacing w:before="0" w:after="160"/>
              <w:jc w:val="both"/>
              <w:rPr>
                <w:rFonts w:ascii="Times New Roman" w:hAnsi="Times New Roman"/>
              </w:rPr>
            </w:pPr>
            <w:r>
              <w:rPr>
                <w:rFonts w:ascii="Times New Roman" w:hAnsi="Times New Roman"/>
                <w:b/>
                <w:bCs/>
                <w:sz w:val="26"/>
                <w:szCs w:val="26"/>
              </w:rPr>
              <w:t xml:space="preserve">There is a need to expedite the inspection of cotton facilities by Egyptian inspectors at the earliest. </w:t>
            </w:r>
          </w:p>
        </w:tc>
      </w:tr>
      <w:tr>
        <w:trPr/>
        <w:tc>
          <w:tcPr>
            <w:tcW w:w="830"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sz w:val="26"/>
                <w:szCs w:val="26"/>
                <w:lang w:bidi="hi-IN"/>
              </w:rPr>
              <w:t>2</w:t>
            </w:r>
          </w:p>
        </w:tc>
        <w:tc>
          <w:tcPr>
            <w:tcW w:w="1288"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sz w:val="26"/>
                <w:szCs w:val="26"/>
                <w:lang w:bidi="hi-IN"/>
              </w:rPr>
              <w:t>Export of Date Palm Seedlings from India to Egypt</w:t>
            </w:r>
          </w:p>
        </w:tc>
        <w:tc>
          <w:tcPr>
            <w:tcW w:w="5323"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jc w:val="both"/>
              <w:rPr>
                <w:rFonts w:ascii="Times New Roman" w:hAnsi="Times New Roman"/>
              </w:rPr>
            </w:pPr>
            <w:r>
              <w:rPr>
                <w:rFonts w:ascii="Times New Roman" w:hAnsi="Times New Roman"/>
                <w:sz w:val="26"/>
                <w:szCs w:val="26"/>
                <w:lang w:bidi="hi-IN"/>
              </w:rPr>
              <w:t>Date Palm Seedlings export is banned from India due to phytosanitary concerns. The Egyptian side stated they will have to visit India to complete the Pest Risk Analysis (PRA) exercise.</w:t>
            </w:r>
          </w:p>
        </w:tc>
        <w:tc>
          <w:tcPr>
            <w:tcW w:w="25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bCs/>
                <w:sz w:val="26"/>
                <w:szCs w:val="26"/>
                <w:lang w:bidi="hi-IN"/>
              </w:rPr>
              <w:t>Egyptian visits to India for inspection are awaited</w:t>
            </w:r>
            <w:r>
              <w:rPr>
                <w:rFonts w:ascii="Times New Roman" w:hAnsi="Times New Roman"/>
                <w:sz w:val="26"/>
                <w:szCs w:val="26"/>
                <w:lang w:bidi="hi-IN"/>
              </w:rPr>
              <w:t xml:space="preserve"> </w:t>
            </w:r>
          </w:p>
          <w:p>
            <w:pPr>
              <w:pStyle w:val="Normal"/>
              <w:widowControl w:val="false"/>
              <w:spacing w:before="0" w:after="160"/>
              <w:jc w:val="both"/>
              <w:rPr>
                <w:rFonts w:ascii="Times New Roman" w:hAnsi="Times New Roman"/>
              </w:rPr>
            </w:pPr>
            <w:r>
              <w:rPr>
                <w:rFonts w:ascii="Times New Roman" w:hAnsi="Times New Roman"/>
                <w:b/>
                <w:bCs/>
                <w:sz w:val="26"/>
                <w:szCs w:val="26"/>
              </w:rPr>
              <w:t xml:space="preserve">There is a need to expedite the inspection of Indian facilities by Egyptian inspectors at the earliest. </w:t>
            </w:r>
          </w:p>
        </w:tc>
      </w:tr>
      <w:tr>
        <w:trPr/>
        <w:tc>
          <w:tcPr>
            <w:tcW w:w="830"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sz w:val="26"/>
                <w:szCs w:val="26"/>
                <w:lang w:bidi="hi-IN"/>
              </w:rPr>
              <w:t>3</w:t>
            </w:r>
          </w:p>
        </w:tc>
        <w:tc>
          <w:tcPr>
            <w:tcW w:w="1288"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sz w:val="26"/>
                <w:szCs w:val="26"/>
                <w:lang w:bidi="hi-IN"/>
              </w:rPr>
              <w:t>Certificate and Registration of Indian drugs</w:t>
            </w:r>
          </w:p>
        </w:tc>
        <w:tc>
          <w:tcPr>
            <w:tcW w:w="5323"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jc w:val="both"/>
              <w:rPr>
                <w:rFonts w:ascii="Times New Roman" w:hAnsi="Times New Roman"/>
              </w:rPr>
            </w:pPr>
            <w:r>
              <w:rPr>
                <w:rFonts w:ascii="Times New Roman" w:hAnsi="Times New Roman"/>
                <w:sz w:val="26"/>
                <w:szCs w:val="26"/>
                <w:lang w:bidi="hi-IN"/>
              </w:rPr>
              <w:t xml:space="preserve">Exclusion from list of reference countries: Although Indian companies have more advanced certifications than US and EU regulators; Egypt continues to rely on the old GMP certification. This adverse regulatory environment is one reason why India is excluded from the list of 22 reference countries used by Egypt’s Ministry of Health. </w:t>
            </w:r>
          </w:p>
          <w:p>
            <w:pPr>
              <w:pStyle w:val="Normal"/>
              <w:widowControl w:val="false"/>
              <w:spacing w:lineRule="auto" w:line="240" w:before="0" w:after="0"/>
              <w:jc w:val="both"/>
              <w:rPr>
                <w:rFonts w:ascii="Times New Roman" w:hAnsi="Times New Roman"/>
                <w:sz w:val="26"/>
                <w:szCs w:val="26"/>
                <w:lang w:bidi="hi-IN"/>
              </w:rPr>
            </w:pPr>
            <w:r>
              <w:rPr>
                <w:rFonts w:ascii="Times New Roman" w:hAnsi="Times New Roman"/>
                <w:sz w:val="26"/>
                <w:szCs w:val="26"/>
                <w:lang w:bidi="hi-IN"/>
              </w:rPr>
            </w:r>
          </w:p>
        </w:tc>
        <w:tc>
          <w:tcPr>
            <w:tcW w:w="25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rFonts w:ascii="Times New Roman" w:hAnsi="Times New Roman"/>
              </w:rPr>
            </w:pPr>
            <w:r>
              <w:rPr>
                <w:rFonts w:ascii="Times New Roman" w:hAnsi="Times New Roman"/>
                <w:sz w:val="26"/>
                <w:szCs w:val="26"/>
              </w:rPr>
              <w:t xml:space="preserve">The 1st JWG on Drugs and Pharmaceuticals was held on 14th March, 2022. </w:t>
            </w:r>
          </w:p>
          <w:p>
            <w:pPr>
              <w:pStyle w:val="Normal"/>
              <w:widowControl w:val="false"/>
              <w:spacing w:lineRule="auto" w:line="240" w:before="0" w:after="0"/>
              <w:rPr>
                <w:rFonts w:ascii="Times New Roman" w:hAnsi="Times New Roman"/>
                <w:sz w:val="26"/>
                <w:szCs w:val="26"/>
                <w:lang w:bidi="hi-IN"/>
              </w:rPr>
            </w:pPr>
            <w:r>
              <w:rPr>
                <w:rFonts w:ascii="Times New Roman" w:hAnsi="Times New Roman"/>
                <w:sz w:val="26"/>
                <w:szCs w:val="26"/>
                <w:lang w:bidi="hi-IN"/>
              </w:rPr>
            </w:r>
          </w:p>
          <w:p>
            <w:pPr>
              <w:pStyle w:val="Normal"/>
              <w:widowControl w:val="false"/>
              <w:jc w:val="both"/>
              <w:rPr>
                <w:rFonts w:ascii="Times New Roman" w:hAnsi="Times New Roman"/>
              </w:rPr>
            </w:pPr>
            <w:r>
              <w:rPr>
                <w:rFonts w:ascii="Times New Roman" w:hAnsi="Times New Roman"/>
                <w:b/>
                <w:bCs/>
                <w:sz w:val="26"/>
                <w:szCs w:val="26"/>
              </w:rPr>
              <w:t xml:space="preserve">Egyptian Drug Authority and CDSCO need to coordinate at institution level to include India in the list of 22 reference countries. </w:t>
            </w:r>
          </w:p>
          <w:p>
            <w:pPr>
              <w:pStyle w:val="Normal"/>
              <w:widowControl w:val="false"/>
              <w:spacing w:lineRule="auto" w:line="240" w:before="0" w:after="0"/>
              <w:rPr>
                <w:rFonts w:ascii="Times New Roman" w:hAnsi="Times New Roman"/>
                <w:b/>
                <w:bCs/>
                <w:sz w:val="26"/>
                <w:szCs w:val="26"/>
                <w:lang w:bidi="hi-IN"/>
              </w:rPr>
            </w:pPr>
            <w:r>
              <w:rPr>
                <w:rFonts w:ascii="Times New Roman" w:hAnsi="Times New Roman"/>
                <w:b/>
                <w:bCs/>
                <w:sz w:val="26"/>
                <w:szCs w:val="26"/>
                <w:lang w:bidi="hi-IN"/>
              </w:rPr>
            </w:r>
          </w:p>
          <w:p>
            <w:pPr>
              <w:pStyle w:val="Normal"/>
              <w:widowControl w:val="false"/>
              <w:spacing w:lineRule="auto" w:line="240" w:before="0" w:after="0"/>
              <w:rPr>
                <w:rFonts w:ascii="Times New Roman" w:hAnsi="Times New Roman"/>
                <w:b/>
                <w:bCs/>
                <w:sz w:val="26"/>
                <w:szCs w:val="26"/>
                <w:lang w:bidi="hi-IN"/>
              </w:rPr>
            </w:pPr>
            <w:r>
              <w:rPr>
                <w:rFonts w:ascii="Times New Roman" w:hAnsi="Times New Roman"/>
                <w:b/>
                <w:bCs/>
                <w:sz w:val="26"/>
                <w:szCs w:val="26"/>
                <w:lang w:bidi="hi-IN"/>
              </w:rPr>
            </w:r>
          </w:p>
          <w:p>
            <w:pPr>
              <w:pStyle w:val="Normal"/>
              <w:widowControl w:val="false"/>
              <w:spacing w:lineRule="auto" w:line="240" w:before="0" w:after="0"/>
              <w:rPr>
                <w:rFonts w:ascii="Times New Roman" w:hAnsi="Times New Roman"/>
                <w:b/>
                <w:bCs/>
                <w:sz w:val="26"/>
                <w:szCs w:val="26"/>
                <w:lang w:bidi="hi-IN"/>
              </w:rPr>
            </w:pPr>
            <w:r>
              <w:rPr>
                <w:rFonts w:ascii="Times New Roman" w:hAnsi="Times New Roman"/>
                <w:b/>
                <w:bCs/>
                <w:sz w:val="26"/>
                <w:szCs w:val="26"/>
                <w:lang w:bidi="hi-IN"/>
              </w:rPr>
            </w:r>
          </w:p>
        </w:tc>
      </w:tr>
      <w:tr>
        <w:trPr>
          <w:trHeight w:val="1763" w:hRule="atLeast"/>
        </w:trPr>
        <w:tc>
          <w:tcPr>
            <w:tcW w:w="830"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sz w:val="26"/>
                <w:szCs w:val="26"/>
                <w:lang w:bidi="hi-IN"/>
              </w:rPr>
              <w:t>4</w:t>
            </w:r>
          </w:p>
        </w:tc>
        <w:tc>
          <w:tcPr>
            <w:tcW w:w="1288"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sz w:val="26"/>
                <w:szCs w:val="26"/>
                <w:lang w:bidi="hi-IN"/>
              </w:rPr>
              <w:t>Export of coconut Seedlings from India to Egypt</w:t>
            </w:r>
          </w:p>
          <w:p>
            <w:pPr>
              <w:pStyle w:val="Normal"/>
              <w:widowControl w:val="false"/>
              <w:spacing w:lineRule="auto" w:line="240" w:before="0" w:after="0"/>
              <w:rPr>
                <w:rFonts w:ascii="Times New Roman" w:hAnsi="Times New Roman"/>
                <w:sz w:val="26"/>
                <w:szCs w:val="26"/>
                <w:lang w:bidi="hi-IN"/>
              </w:rPr>
            </w:pPr>
            <w:r>
              <w:rPr>
                <w:rFonts w:ascii="Times New Roman" w:hAnsi="Times New Roman"/>
                <w:sz w:val="26"/>
                <w:szCs w:val="26"/>
                <w:lang w:bidi="hi-IN"/>
              </w:rPr>
            </w:r>
          </w:p>
        </w:tc>
        <w:tc>
          <w:tcPr>
            <w:tcW w:w="5323"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jc w:val="both"/>
              <w:rPr>
                <w:rFonts w:ascii="Times New Roman" w:hAnsi="Times New Roman"/>
              </w:rPr>
            </w:pPr>
            <w:r>
              <w:rPr>
                <w:rFonts w:ascii="Times New Roman" w:hAnsi="Times New Roman"/>
                <w:sz w:val="26"/>
                <w:szCs w:val="26"/>
                <w:lang w:bidi="hi-IN"/>
              </w:rPr>
              <w:t>Coconut Seedlings export is banned from India due to phytosanitary concerns. The Egyptian side stated they will have to visit India to complete the Pest Risk Analysis (PRA) exercise.</w:t>
            </w:r>
          </w:p>
        </w:tc>
        <w:tc>
          <w:tcPr>
            <w:tcW w:w="25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bCs/>
                <w:sz w:val="26"/>
                <w:szCs w:val="26"/>
                <w:lang w:bidi="hi-IN"/>
              </w:rPr>
              <w:t>Egyptian visits to India for inspection are awaited</w:t>
            </w:r>
            <w:r>
              <w:rPr>
                <w:rFonts w:ascii="Times New Roman" w:hAnsi="Times New Roman"/>
                <w:sz w:val="26"/>
                <w:szCs w:val="26"/>
                <w:lang w:bidi="hi-IN"/>
              </w:rPr>
              <w:t xml:space="preserve"> </w:t>
            </w:r>
          </w:p>
          <w:p>
            <w:pPr>
              <w:pStyle w:val="Normal"/>
              <w:widowControl w:val="false"/>
              <w:spacing w:before="0" w:after="160"/>
              <w:jc w:val="both"/>
              <w:rPr>
                <w:rFonts w:ascii="Times New Roman" w:hAnsi="Times New Roman"/>
              </w:rPr>
            </w:pPr>
            <w:r>
              <w:rPr>
                <w:rFonts w:ascii="Times New Roman" w:hAnsi="Times New Roman"/>
                <w:b/>
                <w:bCs/>
                <w:sz w:val="26"/>
                <w:szCs w:val="26"/>
              </w:rPr>
              <w:t xml:space="preserve">There is a need to expedite the inspection of Indian facilities by Egyptian inspectors at the earliest. </w:t>
            </w:r>
          </w:p>
        </w:tc>
      </w:tr>
    </w:tbl>
    <w:p>
      <w:pPr>
        <w:pStyle w:val="Normal"/>
        <w:rPr>
          <w:rFonts w:ascii="Times New Roman" w:hAnsi="Times New Roman"/>
          <w:b/>
          <w:color w:val="FF0000"/>
          <w:sz w:val="26"/>
          <w:szCs w:val="26"/>
          <w:u w:val="single"/>
          <w:lang w:val="en-GB"/>
        </w:rPr>
      </w:pPr>
      <w:r>
        <w:rPr>
          <w:rFonts w:ascii="Times New Roman" w:hAnsi="Times New Roman"/>
          <w:b/>
          <w:color w:val="FF0000"/>
          <w:sz w:val="26"/>
          <w:szCs w:val="26"/>
          <w:u w:val="single"/>
          <w:lang w:val="en-GB"/>
        </w:rPr>
      </w:r>
    </w:p>
    <w:p>
      <w:pPr>
        <w:pStyle w:val="ListParagraph"/>
        <w:numPr>
          <w:ilvl w:val="0"/>
          <w:numId w:val="15"/>
        </w:numPr>
        <w:rPr>
          <w:rFonts w:ascii="Times New Roman" w:hAnsi="Times New Roman"/>
        </w:rPr>
      </w:pPr>
      <w:r>
        <w:rPr>
          <w:rFonts w:ascii="Times New Roman" w:hAnsi="Times New Roman"/>
          <w:b/>
          <w:sz w:val="26"/>
          <w:szCs w:val="26"/>
          <w:u w:val="single"/>
          <w:lang w:val="en-GB"/>
        </w:rPr>
        <w:t>Institutional basis for engagement (in brief)</w:t>
      </w:r>
    </w:p>
    <w:p>
      <w:pPr>
        <w:pStyle w:val="Standard"/>
        <w:numPr>
          <w:ilvl w:val="0"/>
          <w:numId w:val="1"/>
        </w:numPr>
        <w:tabs>
          <w:tab w:val="clear" w:pos="720"/>
          <w:tab w:val="left" w:pos="90" w:leader="none"/>
        </w:tabs>
        <w:spacing w:lineRule="auto" w:line="276" w:before="0" w:after="0"/>
        <w:ind w:left="720" w:hanging="720"/>
        <w:jc w:val="both"/>
        <w:rPr>
          <w:rFonts w:ascii="Times New Roman" w:hAnsi="Times New Roman" w:cs="Times New Roman"/>
        </w:rPr>
      </w:pPr>
      <w:r>
        <w:rPr>
          <w:rFonts w:cs="Times New Roman" w:ascii="Times New Roman" w:hAnsi="Times New Roman"/>
          <w:sz w:val="26"/>
          <w:szCs w:val="26"/>
        </w:rPr>
        <w:t>5</w:t>
      </w:r>
      <w:r>
        <w:rPr>
          <w:rFonts w:cs="Times New Roman" w:ascii="Times New Roman" w:hAnsi="Times New Roman"/>
          <w:sz w:val="26"/>
          <w:szCs w:val="26"/>
          <w:vertAlign w:val="superscript"/>
        </w:rPr>
        <w:t>th</w:t>
      </w:r>
      <w:r>
        <w:rPr>
          <w:rFonts w:cs="Times New Roman" w:ascii="Times New Roman" w:hAnsi="Times New Roman"/>
          <w:sz w:val="26"/>
          <w:szCs w:val="26"/>
        </w:rPr>
        <w:t xml:space="preserve"> India-Egypt Joint Trade Committee met in Cairo on 25 Jul 2022, in background of highest ever bilateral trade figures of US$ 7.26 bn in 2021-22. The meeting was chaired by Dr Srikar Reddy, Joint Secretary Ministry of Commerce and Industry and Mr Yahya El Wathik Bellah, Head, Egyptian Commercial Service. </w:t>
      </w:r>
    </w:p>
    <w:p>
      <w:pPr>
        <w:pStyle w:val="Standard"/>
        <w:numPr>
          <w:ilvl w:val="0"/>
          <w:numId w:val="1"/>
        </w:numPr>
        <w:tabs>
          <w:tab w:val="clear" w:pos="720"/>
          <w:tab w:val="left" w:pos="90" w:leader="none"/>
        </w:tabs>
        <w:spacing w:lineRule="auto" w:line="276" w:before="0" w:after="0"/>
        <w:ind w:left="720" w:hanging="720"/>
        <w:jc w:val="both"/>
        <w:rPr>
          <w:rFonts w:ascii="Times New Roman" w:hAnsi="Times New Roman" w:cs="Times New Roman"/>
        </w:rPr>
      </w:pPr>
      <w:r>
        <w:rPr>
          <w:rFonts w:cs="Times New Roman" w:ascii="Times New Roman" w:hAnsi="Times New Roman"/>
          <w:sz w:val="26"/>
          <w:szCs w:val="26"/>
        </w:rPr>
        <w:t>The 5</w:t>
      </w:r>
      <w:r>
        <w:rPr>
          <w:rFonts w:cs="Times New Roman" w:ascii="Times New Roman" w:hAnsi="Times New Roman"/>
          <w:sz w:val="26"/>
          <w:szCs w:val="26"/>
          <w:vertAlign w:val="superscript"/>
        </w:rPr>
        <w:t>th</w:t>
      </w:r>
      <w:r>
        <w:rPr>
          <w:rFonts w:cs="Times New Roman" w:ascii="Times New Roman" w:hAnsi="Times New Roman"/>
          <w:sz w:val="26"/>
          <w:szCs w:val="26"/>
        </w:rPr>
        <w:t xml:space="preserve"> Egypt-India Joint Business Council JBC meeting was held in Cairo on 26 Jul 2022, after 6 years. The meeting was attended by FICCI delegation of businessmen representing sectors like chemicals, IT, manufacturing, 2-wheelers etc and business leaders of Egyptian companies. </w:t>
      </w:r>
    </w:p>
    <w:p>
      <w:pPr>
        <w:pStyle w:val="Standard"/>
        <w:numPr>
          <w:ilvl w:val="0"/>
          <w:numId w:val="1"/>
        </w:numPr>
        <w:tabs>
          <w:tab w:val="left" w:pos="720" w:leader="none"/>
        </w:tabs>
        <w:spacing w:lineRule="auto" w:line="276" w:before="0" w:after="0"/>
        <w:ind w:left="810" w:hanging="810"/>
        <w:jc w:val="both"/>
        <w:rPr>
          <w:rFonts w:ascii="Times New Roman" w:hAnsi="Times New Roman" w:cs="Times New Roman"/>
        </w:rPr>
      </w:pPr>
      <w:r>
        <w:rPr>
          <w:rFonts w:cs="Times New Roman" w:ascii="Times New Roman" w:hAnsi="Times New Roman"/>
          <w:sz w:val="26"/>
          <w:szCs w:val="26"/>
        </w:rPr>
        <w:t>JWG – There are four JWGs currently between India and Egypt. The last JWG in Trade and Investment was held in March 2021. Steps to expedite convening the JWGs on Agriculture, Plant and Animal Quarantine (to be taken by Deptt. of Agriculture Cooperation &amp; Farmers Welfare, Deptt. of Animal Husbandry, Dairying &amp; Fisheries and APEDA) and Industrial Cooperation, SMEs and IT (to be taken by Deptt. of Industrial Policy and Promotion, M/O Micro, Small &amp; Medium Enterprises, National Small Industries Corporation (NSIC), Deptt. of Electronics &amp; Information Technology) to take the discussions with the Egyptian side forward in these sectors, which may enhance our exports and help remove non-tariff barriers.</w:t>
      </w:r>
    </w:p>
    <w:p>
      <w:pPr>
        <w:pStyle w:val="Standard"/>
        <w:numPr>
          <w:ilvl w:val="0"/>
          <w:numId w:val="1"/>
        </w:numPr>
        <w:spacing w:lineRule="auto" w:line="276" w:before="0" w:after="0"/>
        <w:ind w:left="720" w:hanging="360"/>
        <w:jc w:val="both"/>
        <w:rPr>
          <w:rFonts w:ascii="Times New Roman" w:hAnsi="Times New Roman" w:cs="Times New Roman"/>
        </w:rPr>
      </w:pPr>
      <w:r>
        <w:rPr>
          <w:rFonts w:cs="Times New Roman" w:ascii="Times New Roman" w:hAnsi="Times New Roman"/>
          <w:color w:val="auto"/>
          <w:sz w:val="26"/>
          <w:szCs w:val="26"/>
        </w:rPr>
        <w:t>01</w:t>
      </w:r>
      <w:r>
        <w:rPr>
          <w:rFonts w:cs="Times New Roman" w:ascii="Times New Roman" w:hAnsi="Times New Roman"/>
          <w:color w:val="auto"/>
          <w:sz w:val="26"/>
          <w:szCs w:val="26"/>
          <w:vertAlign w:val="superscript"/>
        </w:rPr>
        <w:t>st</w:t>
      </w:r>
      <w:r>
        <w:rPr>
          <w:rFonts w:cs="Times New Roman" w:ascii="Times New Roman" w:hAnsi="Times New Roman"/>
          <w:color w:val="auto"/>
          <w:sz w:val="26"/>
          <w:szCs w:val="26"/>
        </w:rPr>
        <w:t xml:space="preserve"> JWG on </w:t>
      </w:r>
      <w:r>
        <w:rPr>
          <w:rFonts w:cs="Times New Roman" w:ascii="Times New Roman" w:hAnsi="Times New Roman"/>
          <w:color w:val="000000"/>
          <w:sz w:val="26"/>
          <w:szCs w:val="26"/>
          <w:shd w:fill="FFFFFF" w:val="clear"/>
        </w:rPr>
        <w:t>Drugs and Pharmaceuticals</w:t>
      </w:r>
      <w:r>
        <w:rPr>
          <w:rFonts w:cs="Times New Roman" w:ascii="Times New Roman" w:hAnsi="Times New Roman"/>
          <w:color w:val="auto"/>
          <w:sz w:val="26"/>
          <w:szCs w:val="26"/>
        </w:rPr>
        <w:t xml:space="preserve"> was held on 14</w:t>
      </w:r>
      <w:r>
        <w:rPr>
          <w:rFonts w:cs="Times New Roman" w:ascii="Times New Roman" w:hAnsi="Times New Roman"/>
          <w:color w:val="auto"/>
          <w:sz w:val="26"/>
          <w:szCs w:val="26"/>
          <w:vertAlign w:val="superscript"/>
        </w:rPr>
        <w:t>th</w:t>
      </w:r>
      <w:r>
        <w:rPr>
          <w:rFonts w:cs="Times New Roman" w:ascii="Times New Roman" w:hAnsi="Times New Roman"/>
          <w:color w:val="auto"/>
          <w:sz w:val="26"/>
          <w:szCs w:val="26"/>
        </w:rPr>
        <w:t xml:space="preserve"> March, 2022. Indian delegation headed by Dr. Sumit Garg, Deputy Secretary Department of Pharmaceuticals.</w:t>
      </w:r>
    </w:p>
    <w:p>
      <w:pPr>
        <w:pStyle w:val="Standard"/>
        <w:numPr>
          <w:ilvl w:val="0"/>
          <w:numId w:val="1"/>
        </w:numPr>
        <w:spacing w:lineRule="auto" w:line="276" w:before="0" w:after="0"/>
        <w:ind w:left="720" w:hanging="360"/>
        <w:jc w:val="both"/>
        <w:rPr>
          <w:rFonts w:ascii="Times New Roman" w:hAnsi="Times New Roman" w:cs="Times New Roman"/>
        </w:rPr>
      </w:pPr>
      <w:r>
        <w:rPr>
          <w:rFonts w:cs="Times New Roman" w:ascii="Times New Roman" w:hAnsi="Times New Roman"/>
          <w:color w:val="auto"/>
          <w:sz w:val="26"/>
          <w:szCs w:val="26"/>
        </w:rPr>
        <w:t>01</w:t>
      </w:r>
      <w:r>
        <w:rPr>
          <w:rFonts w:cs="Times New Roman" w:ascii="Times New Roman" w:hAnsi="Times New Roman"/>
          <w:color w:val="auto"/>
          <w:sz w:val="26"/>
          <w:szCs w:val="26"/>
          <w:vertAlign w:val="superscript"/>
        </w:rPr>
        <w:t>st</w:t>
      </w:r>
      <w:r>
        <w:rPr>
          <w:rFonts w:cs="Times New Roman" w:ascii="Times New Roman" w:hAnsi="Times New Roman"/>
          <w:color w:val="auto"/>
          <w:sz w:val="26"/>
          <w:szCs w:val="26"/>
        </w:rPr>
        <w:t xml:space="preserve"> JWG on Health and Medicine was held on 11</w:t>
      </w:r>
      <w:r>
        <w:rPr>
          <w:rFonts w:cs="Times New Roman" w:ascii="Times New Roman" w:hAnsi="Times New Roman"/>
          <w:color w:val="auto"/>
          <w:sz w:val="26"/>
          <w:szCs w:val="26"/>
          <w:vertAlign w:val="superscript"/>
        </w:rPr>
        <w:t>th</w:t>
      </w:r>
      <w:r>
        <w:rPr>
          <w:rFonts w:cs="Times New Roman" w:ascii="Times New Roman" w:hAnsi="Times New Roman"/>
          <w:color w:val="auto"/>
          <w:sz w:val="26"/>
          <w:szCs w:val="26"/>
        </w:rPr>
        <w:t xml:space="preserve">April 2022 between </w:t>
        <w:br/>
        <w:t xml:space="preserve">Ministry of Health and Family Welfare, Government of India and Egyptian Ministry of Health and Population. </w:t>
      </w:r>
    </w:p>
    <w:p>
      <w:pPr>
        <w:pStyle w:val="Standard"/>
        <w:numPr>
          <w:ilvl w:val="0"/>
          <w:numId w:val="1"/>
        </w:numPr>
        <w:spacing w:lineRule="auto" w:line="276" w:before="0" w:after="0"/>
        <w:ind w:left="720" w:hanging="360"/>
        <w:jc w:val="both"/>
        <w:rPr>
          <w:rFonts w:ascii="Times New Roman" w:hAnsi="Times New Roman" w:cs="Times New Roman"/>
        </w:rPr>
      </w:pPr>
      <w:r>
        <w:rPr>
          <w:rFonts w:cs="Times New Roman" w:ascii="Times New Roman" w:hAnsi="Times New Roman"/>
          <w:color w:val="auto"/>
          <w:sz w:val="26"/>
          <w:szCs w:val="26"/>
        </w:rPr>
        <w:t>01</w:t>
      </w:r>
      <w:r>
        <w:rPr>
          <w:rFonts w:cs="Times New Roman" w:ascii="Times New Roman" w:hAnsi="Times New Roman"/>
          <w:color w:val="auto"/>
          <w:sz w:val="26"/>
          <w:szCs w:val="26"/>
          <w:vertAlign w:val="superscript"/>
        </w:rPr>
        <w:t>st</w:t>
      </w:r>
      <w:r>
        <w:rPr>
          <w:rFonts w:cs="Times New Roman" w:ascii="Times New Roman" w:hAnsi="Times New Roman"/>
          <w:color w:val="auto"/>
          <w:sz w:val="26"/>
          <w:szCs w:val="26"/>
        </w:rPr>
        <w:t xml:space="preserve"> JWG on Animal Husbandry, Dairies and Fisheries was held (Virtually) on 25</w:t>
      </w:r>
      <w:r>
        <w:rPr>
          <w:rFonts w:cs="Times New Roman" w:ascii="Times New Roman" w:hAnsi="Times New Roman"/>
          <w:color w:val="auto"/>
          <w:sz w:val="26"/>
          <w:szCs w:val="26"/>
          <w:vertAlign w:val="superscript"/>
        </w:rPr>
        <w:t>th</w:t>
      </w:r>
      <w:r>
        <w:rPr>
          <w:rFonts w:cs="Times New Roman" w:ascii="Times New Roman" w:hAnsi="Times New Roman"/>
          <w:color w:val="auto"/>
          <w:sz w:val="26"/>
          <w:szCs w:val="26"/>
        </w:rPr>
        <w:t xml:space="preserve"> October 2022 between Ministry of Fisheries, Animal Husbandry and Dairying, Government of India &amp; Ministry of Agriculture and Reclamation, Government of Arab Republic of Egypt. </w:t>
      </w:r>
    </w:p>
    <w:p>
      <w:pPr>
        <w:pStyle w:val="Standard"/>
        <w:spacing w:lineRule="auto" w:line="276" w:before="0" w:after="0"/>
        <w:jc w:val="both"/>
        <w:rPr>
          <w:rFonts w:ascii="Times New Roman" w:hAnsi="Times New Roman" w:cs="Times New Roman"/>
          <w:color w:val="auto"/>
          <w:sz w:val="26"/>
          <w:szCs w:val="26"/>
          <w:u w:val="single"/>
        </w:rPr>
      </w:pPr>
      <w:r>
        <w:rPr>
          <w:rFonts w:cs="Times New Roman" w:ascii="Times New Roman" w:hAnsi="Times New Roman"/>
          <w:color w:val="auto"/>
          <w:sz w:val="26"/>
          <w:szCs w:val="26"/>
          <w:u w:val="single"/>
        </w:rPr>
      </w:r>
    </w:p>
    <w:p>
      <w:pPr>
        <w:pStyle w:val="ListParagraph"/>
        <w:numPr>
          <w:ilvl w:val="0"/>
          <w:numId w:val="15"/>
        </w:numPr>
        <w:rPr>
          <w:rFonts w:ascii="Times New Roman" w:hAnsi="Times New Roman"/>
        </w:rPr>
      </w:pPr>
      <w:r>
        <w:rPr>
          <w:rFonts w:ascii="Times New Roman" w:hAnsi="Times New Roman"/>
          <w:b/>
          <w:sz w:val="26"/>
          <w:szCs w:val="26"/>
          <w:u w:val="single"/>
          <w:lang w:val="en-GB"/>
        </w:rPr>
        <w:t xml:space="preserve">Trade Disputes of </w:t>
      </w:r>
      <w:r>
        <w:rPr>
          <w:rFonts w:ascii="Times New Roman" w:hAnsi="Times New Roman"/>
          <w:b/>
          <w:iCs/>
          <w:sz w:val="26"/>
          <w:szCs w:val="26"/>
          <w:u w:val="single"/>
        </w:rPr>
        <w:t>Egypt</w:t>
      </w:r>
      <w:r>
        <w:rPr>
          <w:rFonts w:ascii="Times New Roman" w:hAnsi="Times New Roman"/>
          <w:b/>
          <w:iCs/>
          <w:sz w:val="26"/>
          <w:szCs w:val="26"/>
        </w:rPr>
        <w:t xml:space="preserve"> </w:t>
      </w:r>
      <w:r>
        <w:rPr>
          <w:rFonts w:ascii="Times New Roman" w:hAnsi="Times New Roman"/>
          <w:b/>
          <w:sz w:val="26"/>
          <w:szCs w:val="26"/>
          <w:u w:val="single"/>
          <w:lang w:val="en-GB"/>
        </w:rPr>
        <w:t>with India (In brief, with present status)</w:t>
      </w:r>
    </w:p>
    <w:p>
      <w:pPr>
        <w:pStyle w:val="NormalWeb"/>
        <w:spacing w:lineRule="atLeast" w:line="384" w:before="0" w:after="0"/>
        <w:rPr/>
      </w:pPr>
      <w:r>
        <w:rPr>
          <w:rStyle w:val="Strong"/>
          <w:b w:val="false"/>
          <w:sz w:val="26"/>
          <w:szCs w:val="26"/>
        </w:rPr>
        <w:t>The Ministry of Trade and Industry in </w:t>
      </w:r>
      <w:r>
        <w:rPr>
          <w:bCs/>
          <w:sz w:val="26"/>
          <w:szCs w:val="26"/>
        </w:rPr>
        <w:t>Egypt</w:t>
      </w:r>
      <w:r>
        <w:rPr>
          <w:rStyle w:val="Strong"/>
          <w:b w:val="false"/>
          <w:sz w:val="26"/>
          <w:szCs w:val="26"/>
        </w:rPr>
        <w:t xml:space="preserve"> has imposed anti-dumping duties on imports of iron alloys (ferrosilicon) from China, India and Russia, for a period of 5 years, starting from 01 April 2021. 15% anti-dumping duties were imposed on the Indian products. The details of the investigation report by the Egyptian side were shared by the Mission to Department of Commerce on 13</w:t>
      </w:r>
      <w:r>
        <w:rPr>
          <w:rStyle w:val="Strong"/>
          <w:b w:val="false"/>
          <w:sz w:val="26"/>
          <w:szCs w:val="26"/>
          <w:vertAlign w:val="superscript"/>
        </w:rPr>
        <w:t>th</w:t>
      </w:r>
      <w:r>
        <w:rPr>
          <w:rStyle w:val="Strong"/>
          <w:b w:val="false"/>
          <w:sz w:val="26"/>
          <w:szCs w:val="26"/>
        </w:rPr>
        <w:t xml:space="preserve"> April 2021.</w:t>
      </w:r>
      <w:r>
        <w:rPr>
          <w:bCs/>
          <w:sz w:val="26"/>
          <w:szCs w:val="26"/>
        </w:rPr>
        <w:br/>
      </w:r>
    </w:p>
    <w:p>
      <w:pPr>
        <w:pStyle w:val="ListParagraph"/>
        <w:numPr>
          <w:ilvl w:val="0"/>
          <w:numId w:val="15"/>
        </w:numPr>
        <w:tabs>
          <w:tab w:val="clear" w:pos="720"/>
          <w:tab w:val="left" w:pos="-142" w:leader="none"/>
        </w:tabs>
        <w:rPr>
          <w:rFonts w:ascii="Times New Roman" w:hAnsi="Times New Roman"/>
        </w:rPr>
      </w:pPr>
      <w:r>
        <w:rPr>
          <w:rFonts w:ascii="Times New Roman" w:hAnsi="Times New Roman"/>
          <w:b/>
          <w:bCs/>
          <w:color w:val="000000"/>
          <w:sz w:val="26"/>
          <w:szCs w:val="26"/>
          <w:u w:val="single"/>
        </w:rPr>
        <w:t>Investment Details:</w:t>
      </w:r>
    </w:p>
    <w:p>
      <w:pPr>
        <w:pStyle w:val="Normal"/>
        <w:numPr>
          <w:ilvl w:val="0"/>
          <w:numId w:val="11"/>
        </w:numPr>
        <w:spacing w:lineRule="auto" w:line="276" w:before="0" w:after="0"/>
        <w:jc w:val="both"/>
        <w:rPr>
          <w:rFonts w:ascii="Times New Roman" w:hAnsi="Times New Roman"/>
        </w:rPr>
      </w:pPr>
      <w:r>
        <w:rPr>
          <w:rFonts w:ascii="Times New Roman" w:hAnsi="Times New Roman"/>
          <w:color w:val="000000"/>
          <w:sz w:val="26"/>
          <w:szCs w:val="26"/>
        </w:rPr>
        <w:t>Cumulative FDI inflows into India (from Apr 2000 to March 2022): US$ 847,400 million</w:t>
      </w:r>
    </w:p>
    <w:p>
      <w:pPr>
        <w:pStyle w:val="Normal"/>
        <w:spacing w:lineRule="auto" w:line="276" w:before="0" w:after="0"/>
        <w:ind w:left="928" w:hanging="0"/>
        <w:jc w:val="both"/>
        <w:rPr>
          <w:rFonts w:ascii="Times New Roman" w:hAnsi="Times New Roman"/>
        </w:rPr>
      </w:pPr>
      <w:r>
        <w:rPr>
          <w:rFonts w:ascii="Times New Roman" w:hAnsi="Times New Roman"/>
          <w:color w:val="000000"/>
          <w:sz w:val="26"/>
          <w:szCs w:val="26"/>
        </w:rPr>
        <w:t xml:space="preserve">(Including equity, re-invested earnings &amp; other capital)        </w:t>
      </w:r>
    </w:p>
    <w:p>
      <w:pPr>
        <w:pStyle w:val="Normal"/>
        <w:numPr>
          <w:ilvl w:val="0"/>
          <w:numId w:val="11"/>
        </w:numPr>
        <w:spacing w:lineRule="auto" w:line="276" w:before="0" w:after="0"/>
        <w:jc w:val="both"/>
        <w:rPr>
          <w:rFonts w:ascii="Times New Roman" w:hAnsi="Times New Roman"/>
        </w:rPr>
      </w:pPr>
      <w:r>
        <w:rPr>
          <w:rFonts w:ascii="Times New Roman" w:hAnsi="Times New Roman"/>
          <w:sz w:val="26"/>
          <w:szCs w:val="26"/>
        </w:rPr>
        <w:t xml:space="preserve">Cumulative FDI equity inflows </w:t>
      </w:r>
      <w:r>
        <w:rPr>
          <w:rFonts w:ascii="Times New Roman" w:hAnsi="Times New Roman"/>
          <w:i/>
          <w:sz w:val="26"/>
          <w:szCs w:val="26"/>
        </w:rPr>
        <w:t>(remittance-wise)</w:t>
      </w:r>
    </w:p>
    <w:p>
      <w:pPr>
        <w:pStyle w:val="Normal"/>
        <w:numPr>
          <w:ilvl w:val="0"/>
          <w:numId w:val="11"/>
        </w:numPr>
        <w:spacing w:lineRule="auto" w:line="276" w:before="0" w:after="0"/>
        <w:jc w:val="both"/>
        <w:rPr>
          <w:rFonts w:ascii="Times New Roman" w:hAnsi="Times New Roman"/>
        </w:rPr>
      </w:pPr>
      <w:r>
        <w:rPr>
          <w:rFonts w:ascii="Times New Roman" w:hAnsi="Times New Roman"/>
          <w:color w:val="000000"/>
          <w:sz w:val="26"/>
          <w:szCs w:val="26"/>
        </w:rPr>
        <w:t>Share of Egypt in FDI Equity Inflows (from Apr 2000 to March 2022)</w:t>
      </w:r>
    </w:p>
    <w:tbl>
      <w:tblPr>
        <w:tblW w:w="8008" w:type="dxa"/>
        <w:jc w:val="left"/>
        <w:tblInd w:w="923" w:type="dxa"/>
        <w:tblLayout w:type="fixed"/>
        <w:tblCellMar>
          <w:top w:w="0" w:type="dxa"/>
          <w:left w:w="108" w:type="dxa"/>
          <w:bottom w:w="0" w:type="dxa"/>
          <w:right w:w="108" w:type="dxa"/>
        </w:tblCellMar>
        <w:tblLook w:val="0000" w:noHBand="0" w:noVBand="0" w:firstColumn="0" w:lastRow="0" w:lastColumn="0" w:firstRow="0"/>
      </w:tblPr>
      <w:tblGrid>
        <w:gridCol w:w="485"/>
        <w:gridCol w:w="3827"/>
        <w:gridCol w:w="3696"/>
      </w:tblGrid>
      <w:tr>
        <w:trPr/>
        <w:tc>
          <w:tcPr>
            <w:tcW w:w="485" w:type="dxa"/>
            <w:tcBorders>
              <w:top w:val="single" w:sz="4" w:space="0" w:color="000000"/>
              <w:left w:val="single" w:sz="4" w:space="0" w:color="000000"/>
              <w:bottom w:val="single" w:sz="4" w:space="0" w:color="000000"/>
            </w:tcBorders>
            <w:shd w:color="auto" w:fill="auto" w:val="clear"/>
          </w:tcPr>
          <w:p>
            <w:pPr>
              <w:pStyle w:val="Normal"/>
              <w:widowControl w:val="false"/>
              <w:tabs>
                <w:tab w:val="clear" w:pos="720"/>
                <w:tab w:val="left" w:pos="494" w:leader="none"/>
              </w:tabs>
              <w:spacing w:lineRule="auto" w:line="240" w:before="0" w:after="0"/>
              <w:rPr>
                <w:rFonts w:ascii="Times New Roman" w:hAnsi="Times New Roman"/>
              </w:rPr>
            </w:pPr>
            <w:r>
              <w:rPr>
                <w:rFonts w:ascii="Times New Roman" w:hAnsi="Times New Roman"/>
                <w:b/>
                <w:bCs/>
                <w:color w:val="000000"/>
                <w:sz w:val="26"/>
                <w:szCs w:val="26"/>
                <w:lang w:bidi="hi-IN"/>
              </w:rPr>
              <w:t>1.</w:t>
            </w:r>
          </w:p>
        </w:tc>
        <w:tc>
          <w:tcPr>
            <w:tcW w:w="3827"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76" w:before="0" w:after="0"/>
              <w:jc w:val="both"/>
              <w:rPr>
                <w:rFonts w:ascii="Times New Roman" w:hAnsi="Times New Roman"/>
              </w:rPr>
            </w:pPr>
            <w:r>
              <w:rPr>
                <w:rFonts w:ascii="Times New Roman" w:hAnsi="Times New Roman"/>
                <w:b/>
                <w:bCs/>
                <w:color w:val="000000"/>
                <w:sz w:val="26"/>
                <w:szCs w:val="26"/>
                <w:lang w:bidi="hi-IN"/>
              </w:rPr>
              <w:t>Rank</w:t>
            </w:r>
          </w:p>
        </w:tc>
        <w:tc>
          <w:tcPr>
            <w:tcW w:w="369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before="0" w:after="0"/>
              <w:jc w:val="both"/>
              <w:rPr>
                <w:rFonts w:ascii="Times New Roman" w:hAnsi="Times New Roman"/>
              </w:rPr>
            </w:pPr>
            <w:r>
              <w:rPr>
                <w:rFonts w:ascii="Times New Roman" w:hAnsi="Times New Roman"/>
                <w:sz w:val="26"/>
                <w:szCs w:val="26"/>
                <w:lang w:bidi="hi-IN"/>
              </w:rPr>
              <w:t>89th</w:t>
            </w:r>
          </w:p>
        </w:tc>
      </w:tr>
      <w:tr>
        <w:trPr/>
        <w:tc>
          <w:tcPr>
            <w:tcW w:w="485"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b/>
                <w:bCs/>
                <w:color w:val="000000"/>
                <w:sz w:val="26"/>
                <w:szCs w:val="26"/>
                <w:lang w:bidi="hi-IN"/>
              </w:rPr>
              <w:t>2.</w:t>
            </w:r>
          </w:p>
        </w:tc>
        <w:tc>
          <w:tcPr>
            <w:tcW w:w="3827"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76" w:before="0" w:after="0"/>
              <w:jc w:val="both"/>
              <w:rPr>
                <w:rFonts w:ascii="Times New Roman" w:hAnsi="Times New Roman"/>
              </w:rPr>
            </w:pPr>
            <w:r>
              <w:rPr>
                <w:rFonts w:ascii="Times New Roman" w:hAnsi="Times New Roman"/>
                <w:b/>
                <w:bCs/>
                <w:color w:val="000000"/>
                <w:sz w:val="26"/>
                <w:szCs w:val="26"/>
                <w:lang w:bidi="hi-IN"/>
              </w:rPr>
              <w:t>Percentage share of total FDI inflows</w:t>
            </w:r>
          </w:p>
        </w:tc>
        <w:tc>
          <w:tcPr>
            <w:tcW w:w="369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before="0" w:after="0"/>
              <w:jc w:val="both"/>
              <w:rPr>
                <w:rFonts w:ascii="Times New Roman" w:hAnsi="Times New Roman"/>
              </w:rPr>
            </w:pPr>
            <w:r>
              <w:rPr>
                <w:rFonts w:ascii="Times New Roman" w:hAnsi="Times New Roman"/>
                <w:color w:val="000000"/>
                <w:sz w:val="26"/>
                <w:szCs w:val="26"/>
                <w:lang w:bidi="hi-IN"/>
              </w:rPr>
              <w:t>0.0</w:t>
            </w:r>
          </w:p>
        </w:tc>
      </w:tr>
      <w:tr>
        <w:trPr/>
        <w:tc>
          <w:tcPr>
            <w:tcW w:w="485"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b/>
                <w:bCs/>
                <w:color w:val="000000"/>
                <w:sz w:val="26"/>
                <w:szCs w:val="26"/>
                <w:lang w:bidi="hi-IN"/>
              </w:rPr>
              <w:t>3.</w:t>
            </w:r>
          </w:p>
        </w:tc>
        <w:tc>
          <w:tcPr>
            <w:tcW w:w="3827"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76" w:before="0" w:after="0"/>
              <w:jc w:val="both"/>
              <w:rPr>
                <w:rFonts w:ascii="Times New Roman" w:hAnsi="Times New Roman"/>
              </w:rPr>
            </w:pPr>
            <w:r>
              <w:rPr>
                <w:rFonts w:ascii="Times New Roman" w:hAnsi="Times New Roman"/>
                <w:b/>
                <w:bCs/>
                <w:color w:val="000000"/>
                <w:sz w:val="26"/>
                <w:szCs w:val="26"/>
                <w:lang w:bidi="hi-IN"/>
              </w:rPr>
              <w:t xml:space="preserve">Total FDI Inflows from </w:t>
            </w:r>
            <w:r>
              <w:rPr>
                <w:rFonts w:ascii="Times New Roman" w:hAnsi="Times New Roman"/>
                <w:b/>
                <w:bCs/>
                <w:sz w:val="26"/>
                <w:szCs w:val="26"/>
                <w:lang w:bidi="hi-IN"/>
              </w:rPr>
              <w:t>Egypt</w:t>
            </w:r>
          </w:p>
        </w:tc>
        <w:tc>
          <w:tcPr>
            <w:tcW w:w="369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before="0" w:after="0"/>
              <w:jc w:val="both"/>
              <w:rPr>
                <w:rFonts w:ascii="Times New Roman" w:hAnsi="Times New Roman"/>
              </w:rPr>
            </w:pPr>
            <w:r>
              <w:rPr>
                <w:rFonts w:ascii="Times New Roman" w:hAnsi="Times New Roman"/>
                <w:color w:val="000000"/>
                <w:sz w:val="26"/>
                <w:szCs w:val="26"/>
                <w:lang w:bidi="hi-IN"/>
              </w:rPr>
              <w:t>US$ 10.39 million (Rs.</w:t>
            </w:r>
            <w:r>
              <w:rPr>
                <w:rFonts w:ascii="Times New Roman" w:hAnsi="Times New Roman"/>
                <w:sz w:val="26"/>
                <w:szCs w:val="26"/>
                <w:lang w:bidi="hi-IN"/>
              </w:rPr>
              <w:t>66.2</w:t>
            </w:r>
            <w:r>
              <w:rPr>
                <w:rFonts w:ascii="Times New Roman" w:hAnsi="Times New Roman"/>
                <w:color w:val="000000"/>
                <w:sz w:val="26"/>
                <w:szCs w:val="26"/>
                <w:lang w:bidi="hi-IN"/>
              </w:rPr>
              <w:t xml:space="preserve"> Crores)</w:t>
            </w:r>
          </w:p>
        </w:tc>
      </w:tr>
    </w:tbl>
    <w:p>
      <w:pPr>
        <w:pStyle w:val="Normal"/>
        <w:spacing w:lineRule="auto" w:line="276" w:before="0" w:after="0"/>
        <w:ind w:left="6480" w:firstLine="720"/>
        <w:rPr>
          <w:rFonts w:ascii="Times New Roman" w:hAnsi="Times New Roman"/>
          <w:i/>
          <w:i/>
          <w:sz w:val="26"/>
          <w:szCs w:val="26"/>
        </w:rPr>
      </w:pPr>
      <w:r>
        <w:rPr>
          <w:rFonts w:ascii="Times New Roman" w:hAnsi="Times New Roman"/>
          <w:i/>
          <w:sz w:val="26"/>
          <w:szCs w:val="26"/>
        </w:rPr>
      </w:r>
    </w:p>
    <w:p>
      <w:pPr>
        <w:pStyle w:val="Normal"/>
        <w:spacing w:lineRule="auto" w:line="276" w:before="0" w:after="0"/>
        <w:ind w:left="6480" w:firstLine="720"/>
        <w:rPr>
          <w:rFonts w:ascii="Times New Roman" w:hAnsi="Times New Roman"/>
          <w:i/>
          <w:i/>
          <w:sz w:val="26"/>
          <w:szCs w:val="26"/>
        </w:rPr>
      </w:pPr>
      <w:r>
        <w:rPr>
          <w:rFonts w:ascii="Times New Roman" w:hAnsi="Times New Roman"/>
          <w:i/>
          <w:sz w:val="26"/>
          <w:szCs w:val="26"/>
        </w:rPr>
        <w:t xml:space="preserve">*Source: DPIIT </w:t>
      </w:r>
    </w:p>
    <w:p>
      <w:pPr>
        <w:pStyle w:val="ListParagraph"/>
        <w:numPr>
          <w:ilvl w:val="0"/>
          <w:numId w:val="11"/>
        </w:numPr>
        <w:spacing w:before="0" w:after="0"/>
        <w:contextualSpacing/>
        <w:jc w:val="both"/>
        <w:rPr>
          <w:rFonts w:ascii="Times New Roman" w:hAnsi="Times New Roman"/>
        </w:rPr>
      </w:pPr>
      <w:r>
        <w:rPr>
          <w:rFonts w:ascii="Times New Roman" w:hAnsi="Times New Roman"/>
          <w:b/>
          <w:sz w:val="26"/>
          <w:szCs w:val="26"/>
        </w:rPr>
        <w:t>Indian FDI</w:t>
      </w:r>
    </w:p>
    <w:p>
      <w:pPr>
        <w:pStyle w:val="ListParagraph"/>
        <w:spacing w:before="0" w:after="0"/>
        <w:ind w:left="928" w:hanging="0"/>
        <w:contextualSpacing/>
        <w:jc w:val="both"/>
        <w:rPr>
          <w:rFonts w:ascii="Times New Roman" w:hAnsi="Times New Roman"/>
        </w:rPr>
      </w:pPr>
      <w:r>
        <w:rPr>
          <w:rFonts w:ascii="Times New Roman" w:hAnsi="Times New Roman"/>
          <w:sz w:val="26"/>
          <w:szCs w:val="26"/>
        </w:rPr>
        <w:t xml:space="preserve">Egyptian Investment Relation with Egypt, </w:t>
      </w:r>
    </w:p>
    <w:p>
      <w:pPr>
        <w:pStyle w:val="ListParagraph"/>
        <w:spacing w:before="0" w:after="0"/>
        <w:ind w:left="928" w:hanging="0"/>
        <w:contextualSpacing/>
        <w:jc w:val="both"/>
        <w:rPr>
          <w:rFonts w:ascii="Times New Roman" w:hAnsi="Times New Roman"/>
          <w:sz w:val="26"/>
          <w:szCs w:val="26"/>
        </w:rPr>
      </w:pPr>
      <w:r>
        <w:rPr>
          <w:rFonts w:ascii="Times New Roman" w:hAnsi="Times New Roman"/>
          <w:sz w:val="26"/>
          <w:szCs w:val="26"/>
        </w:rPr>
      </w:r>
    </w:p>
    <w:tbl>
      <w:tblPr>
        <w:tblW w:w="8324" w:type="dxa"/>
        <w:jc w:val="left"/>
        <w:tblInd w:w="923" w:type="dxa"/>
        <w:tblLayout w:type="fixed"/>
        <w:tblCellMar>
          <w:top w:w="0" w:type="dxa"/>
          <w:left w:w="108" w:type="dxa"/>
          <w:bottom w:w="0" w:type="dxa"/>
          <w:right w:w="108" w:type="dxa"/>
        </w:tblCellMar>
        <w:tblLook w:val="0000" w:noHBand="0" w:noVBand="0" w:firstColumn="0" w:lastRow="0" w:lastColumn="0" w:firstRow="0"/>
      </w:tblPr>
      <w:tblGrid>
        <w:gridCol w:w="4183"/>
        <w:gridCol w:w="4140"/>
      </w:tblGrid>
      <w:tr>
        <w:trPr/>
        <w:tc>
          <w:tcPr>
            <w:tcW w:w="4183" w:type="dxa"/>
            <w:tcBorders>
              <w:top w:val="single" w:sz="4" w:space="0" w:color="000000"/>
              <w:left w:val="single" w:sz="4" w:space="0" w:color="000000"/>
              <w:bottom w:val="single" w:sz="4" w:space="0" w:color="000000"/>
            </w:tcBorders>
            <w:shd w:color="auto" w:fill="auto" w:val="clear"/>
          </w:tcPr>
          <w:p>
            <w:pPr>
              <w:pStyle w:val="ListParagraph"/>
              <w:widowControl w:val="false"/>
              <w:spacing w:before="0" w:after="0"/>
              <w:ind w:left="0" w:hanging="0"/>
              <w:contextualSpacing/>
              <w:jc w:val="both"/>
              <w:rPr>
                <w:rFonts w:ascii="Times New Roman" w:hAnsi="Times New Roman"/>
              </w:rPr>
            </w:pPr>
            <w:r>
              <w:rPr>
                <w:rFonts w:ascii="Times New Roman" w:hAnsi="Times New Roman"/>
                <w:sz w:val="26"/>
                <w:szCs w:val="26"/>
                <w:lang w:bidi="hi-IN"/>
              </w:rPr>
              <w:t>Egyptian Investment in India</w:t>
            </w:r>
          </w:p>
        </w:tc>
        <w:tc>
          <w:tcPr>
            <w:tcW w:w="4140"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pacing w:before="0" w:after="0"/>
              <w:ind w:left="0" w:hanging="0"/>
              <w:contextualSpacing/>
              <w:jc w:val="both"/>
              <w:rPr>
                <w:rFonts w:ascii="Times New Roman" w:hAnsi="Times New Roman"/>
              </w:rPr>
            </w:pPr>
            <w:r>
              <w:rPr>
                <w:rFonts w:ascii="Times New Roman" w:hAnsi="Times New Roman"/>
                <w:sz w:val="26"/>
                <w:szCs w:val="26"/>
              </w:rPr>
              <w:t xml:space="preserve">US$ </w:t>
            </w:r>
            <w:r>
              <w:rPr>
                <w:rFonts w:ascii="Times New Roman" w:hAnsi="Times New Roman"/>
                <w:sz w:val="26"/>
                <w:szCs w:val="26"/>
                <w:lang w:bidi="hi-IN"/>
              </w:rPr>
              <w:t>37 million</w:t>
            </w:r>
          </w:p>
        </w:tc>
      </w:tr>
      <w:tr>
        <w:trPr/>
        <w:tc>
          <w:tcPr>
            <w:tcW w:w="4183" w:type="dxa"/>
            <w:tcBorders>
              <w:top w:val="single" w:sz="4" w:space="0" w:color="000000"/>
              <w:left w:val="single" w:sz="4" w:space="0" w:color="000000"/>
              <w:bottom w:val="single" w:sz="4" w:space="0" w:color="000000"/>
            </w:tcBorders>
            <w:shd w:color="auto" w:fill="auto" w:val="clear"/>
          </w:tcPr>
          <w:p>
            <w:pPr>
              <w:pStyle w:val="ListParagraph"/>
              <w:widowControl w:val="false"/>
              <w:spacing w:before="0" w:after="0"/>
              <w:ind w:left="0" w:hanging="0"/>
              <w:contextualSpacing/>
              <w:jc w:val="both"/>
              <w:rPr>
                <w:rFonts w:ascii="Times New Roman" w:hAnsi="Times New Roman"/>
              </w:rPr>
            </w:pPr>
            <w:r>
              <w:rPr>
                <w:rFonts w:ascii="Times New Roman" w:hAnsi="Times New Roman"/>
                <w:sz w:val="26"/>
                <w:szCs w:val="26"/>
                <w:lang w:bidi="hi-IN"/>
              </w:rPr>
              <w:t>Indian Investment in Egypt</w:t>
            </w:r>
          </w:p>
        </w:tc>
        <w:tc>
          <w:tcPr>
            <w:tcW w:w="4140"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pacing w:before="0" w:after="0"/>
              <w:ind w:left="0" w:hanging="0"/>
              <w:contextualSpacing/>
              <w:jc w:val="both"/>
              <w:rPr>
                <w:rFonts w:ascii="Times New Roman" w:hAnsi="Times New Roman"/>
              </w:rPr>
            </w:pPr>
            <w:r>
              <w:rPr>
                <w:rFonts w:ascii="Times New Roman" w:hAnsi="Times New Roman"/>
                <w:sz w:val="26"/>
                <w:szCs w:val="26"/>
              </w:rPr>
              <w:t xml:space="preserve">US$ </w:t>
            </w:r>
            <w:r>
              <w:rPr>
                <w:rFonts w:ascii="Times New Roman" w:hAnsi="Times New Roman"/>
                <w:sz w:val="26"/>
                <w:szCs w:val="26"/>
                <w:lang w:bidi="hi-IN"/>
              </w:rPr>
              <w:t xml:space="preserve">3.70 billion </w:t>
            </w:r>
          </w:p>
        </w:tc>
      </w:tr>
    </w:tbl>
    <w:p>
      <w:pPr>
        <w:pStyle w:val="ListParagraph"/>
        <w:spacing w:before="0" w:after="0"/>
        <w:ind w:left="928" w:hanging="0"/>
        <w:contextualSpacing/>
        <w:jc w:val="both"/>
        <w:rPr>
          <w:rFonts w:ascii="Times New Roman" w:hAnsi="Times New Roman"/>
          <w:color w:val="FF0000"/>
          <w:sz w:val="26"/>
          <w:szCs w:val="26"/>
        </w:rPr>
      </w:pPr>
      <w:r>
        <w:rPr>
          <w:rFonts w:ascii="Times New Roman" w:hAnsi="Times New Roman"/>
          <w:color w:val="FF0000"/>
          <w:sz w:val="26"/>
          <w:szCs w:val="26"/>
        </w:rPr>
      </w:r>
    </w:p>
    <w:p>
      <w:pPr>
        <w:pStyle w:val="ListParagraph"/>
        <w:spacing w:before="0" w:after="0"/>
        <w:ind w:left="928" w:hanging="0"/>
        <w:contextualSpacing/>
        <w:jc w:val="both"/>
        <w:rPr>
          <w:rFonts w:ascii="Times New Roman" w:hAnsi="Times New Roman"/>
        </w:rPr>
      </w:pPr>
      <w:r>
        <w:rPr>
          <w:rFonts w:ascii="Times New Roman" w:hAnsi="Times New Roman"/>
          <w:sz w:val="26"/>
          <w:szCs w:val="26"/>
        </w:rPr>
        <w:t xml:space="preserve">As per the Embassy record, Egyptian companies have invested nearly US$ 37 million. </w:t>
      </w:r>
      <w:r>
        <w:rPr>
          <w:rFonts w:ascii="Times New Roman" w:hAnsi="Times New Roman"/>
          <w:i/>
          <w:iCs/>
          <w:sz w:val="26"/>
          <w:szCs w:val="26"/>
        </w:rPr>
        <w:t>(We understand that some of the investments are routed through some third countries)</w:t>
      </w:r>
    </w:p>
    <w:p>
      <w:pPr>
        <w:pStyle w:val="ListParagraph"/>
        <w:spacing w:before="0" w:after="0"/>
        <w:ind w:left="928" w:hanging="0"/>
        <w:contextualSpacing/>
        <w:jc w:val="both"/>
        <w:rPr>
          <w:rFonts w:ascii="Times New Roman" w:hAnsi="Times New Roman"/>
          <w:color w:val="FF0000"/>
          <w:sz w:val="26"/>
          <w:szCs w:val="26"/>
        </w:rPr>
      </w:pPr>
      <w:r>
        <w:rPr>
          <w:rFonts w:ascii="Times New Roman" w:hAnsi="Times New Roman"/>
          <w:color w:val="FF0000"/>
          <w:sz w:val="26"/>
          <w:szCs w:val="26"/>
        </w:rPr>
      </w:r>
    </w:p>
    <w:p>
      <w:pPr>
        <w:pStyle w:val="ListParagraph"/>
        <w:numPr>
          <w:ilvl w:val="0"/>
          <w:numId w:val="11"/>
        </w:numPr>
        <w:spacing w:before="0" w:after="0"/>
        <w:contextualSpacing/>
        <w:jc w:val="both"/>
        <w:rPr>
          <w:rFonts w:ascii="Times New Roman" w:hAnsi="Times New Roman"/>
        </w:rPr>
      </w:pPr>
      <w:r>
        <w:rPr>
          <w:rFonts w:ascii="Times New Roman" w:hAnsi="Times New Roman"/>
          <w:b/>
          <w:sz w:val="26"/>
          <w:szCs w:val="26"/>
        </w:rPr>
        <w:t xml:space="preserve">Firms operating </w:t>
      </w:r>
    </w:p>
    <w:p>
      <w:pPr>
        <w:pStyle w:val="ListParagraph"/>
        <w:numPr>
          <w:ilvl w:val="0"/>
          <w:numId w:val="13"/>
        </w:numPr>
        <w:spacing w:lineRule="auto" w:line="240"/>
        <w:rPr>
          <w:rFonts w:ascii="Times New Roman" w:hAnsi="Times New Roman"/>
        </w:rPr>
      </w:pPr>
      <w:r>
        <w:rPr>
          <w:rFonts w:ascii="Times New Roman" w:hAnsi="Times New Roman"/>
          <w:sz w:val="26"/>
          <w:szCs w:val="26"/>
        </w:rPr>
        <w:t>Indian firms operating in Egypt:</w:t>
      </w:r>
    </w:p>
    <w:p>
      <w:pPr>
        <w:pStyle w:val="ListParagraph"/>
        <w:spacing w:lineRule="auto" w:line="240"/>
        <w:ind w:left="1440" w:hanging="0"/>
        <w:rPr>
          <w:rFonts w:ascii="Times New Roman" w:hAnsi="Times New Roman"/>
          <w:sz w:val="26"/>
          <w:szCs w:val="26"/>
        </w:rPr>
      </w:pPr>
      <w:r>
        <w:rPr>
          <w:rFonts w:ascii="Times New Roman" w:hAnsi="Times New Roman"/>
          <w:sz w:val="26"/>
          <w:szCs w:val="26"/>
        </w:rPr>
      </w:r>
    </w:p>
    <w:p>
      <w:pPr>
        <w:pStyle w:val="ListParagraph"/>
        <w:numPr>
          <w:ilvl w:val="0"/>
          <w:numId w:val="18"/>
        </w:numPr>
        <w:spacing w:lineRule="auto" w:line="240"/>
        <w:jc w:val="both"/>
        <w:rPr>
          <w:rFonts w:ascii="Times New Roman" w:hAnsi="Times New Roman"/>
          <w:sz w:val="26"/>
          <w:szCs w:val="26"/>
        </w:rPr>
      </w:pPr>
      <w:r>
        <w:rPr>
          <w:rFonts w:ascii="Times New Roman" w:hAnsi="Times New Roman"/>
          <w:sz w:val="26"/>
          <w:szCs w:val="26"/>
        </w:rPr>
        <w:t>TCI Sanmar, Birla Carbon, Indorama Dhunseri, Embee International Industries, Flex P Films (Egypt) S.A.E, Velocity Group of Companies, Galaxy Chemicals (Egypt) SAE, Misr Hytech Seed International, Dabur Egypt Limited, Pharmed Healthcare, Sun Pharma Egypt, Lulu Group of Companies, EKC Egypt, Platinum Stabilizers Egypt and ABDOS FMCG etc.</w:t>
      </w:r>
    </w:p>
    <w:p>
      <w:pPr>
        <w:pStyle w:val="ListParagraph"/>
        <w:spacing w:lineRule="auto" w:line="240"/>
        <w:ind w:left="1440" w:hanging="0"/>
        <w:rPr>
          <w:rFonts w:ascii="Times New Roman" w:hAnsi="Times New Roman"/>
          <w:sz w:val="26"/>
          <w:szCs w:val="26"/>
        </w:rPr>
      </w:pPr>
      <w:r>
        <w:rPr>
          <w:rFonts w:ascii="Times New Roman" w:hAnsi="Times New Roman"/>
          <w:sz w:val="26"/>
          <w:szCs w:val="26"/>
        </w:rPr>
      </w:r>
    </w:p>
    <w:p>
      <w:pPr>
        <w:pStyle w:val="ListParagraph"/>
        <w:numPr>
          <w:ilvl w:val="0"/>
          <w:numId w:val="13"/>
        </w:numPr>
        <w:spacing w:lineRule="auto" w:line="240"/>
        <w:rPr>
          <w:rFonts w:ascii="Times New Roman" w:hAnsi="Times New Roman"/>
        </w:rPr>
      </w:pPr>
      <w:r>
        <w:rPr>
          <w:rFonts w:ascii="Times New Roman" w:hAnsi="Times New Roman"/>
          <w:sz w:val="26"/>
          <w:szCs w:val="26"/>
        </w:rPr>
        <w:t>Egyptian companies operating in India:</w:t>
      </w:r>
    </w:p>
    <w:p>
      <w:pPr>
        <w:pStyle w:val="ListParagraph"/>
        <w:spacing w:lineRule="auto" w:line="240"/>
        <w:ind w:left="1440" w:hanging="0"/>
        <w:rPr>
          <w:rFonts w:ascii="Times New Roman" w:hAnsi="Times New Roman"/>
          <w:sz w:val="26"/>
          <w:szCs w:val="26"/>
        </w:rPr>
      </w:pPr>
      <w:r>
        <w:rPr>
          <w:rFonts w:ascii="Times New Roman" w:hAnsi="Times New Roman"/>
          <w:sz w:val="26"/>
          <w:szCs w:val="26"/>
        </w:rPr>
      </w:r>
    </w:p>
    <w:p>
      <w:pPr>
        <w:pStyle w:val="ListParagraph"/>
        <w:spacing w:lineRule="auto" w:line="240"/>
        <w:ind w:left="1440" w:hanging="0"/>
        <w:rPr>
          <w:rFonts w:ascii="Times New Roman" w:hAnsi="Times New Roman"/>
        </w:rPr>
      </w:pPr>
      <w:r>
        <w:rPr>
          <w:rFonts w:ascii="Times New Roman" w:hAnsi="Times New Roman"/>
          <w:sz w:val="26"/>
          <w:szCs w:val="26"/>
        </w:rPr>
        <w:t>El Sewedy group, KAPCI Coatings and Modern Waterproofing Group (Bitumode) and 700 Apps.</w:t>
      </w:r>
    </w:p>
    <w:p>
      <w:pPr>
        <w:pStyle w:val="ListParagraph"/>
        <w:spacing w:lineRule="auto" w:line="240"/>
        <w:ind w:left="1440" w:hanging="0"/>
        <w:rPr>
          <w:rFonts w:ascii="Times New Roman" w:hAnsi="Times New Roman"/>
          <w:color w:val="FF0000"/>
          <w:sz w:val="26"/>
          <w:szCs w:val="26"/>
        </w:rPr>
      </w:pPr>
      <w:r>
        <w:rPr>
          <w:rFonts w:ascii="Times New Roman" w:hAnsi="Times New Roman"/>
          <w:color w:val="FF0000"/>
          <w:sz w:val="26"/>
          <w:szCs w:val="26"/>
        </w:rPr>
      </w:r>
    </w:p>
    <w:p>
      <w:pPr>
        <w:pStyle w:val="ListParagraph"/>
        <w:numPr>
          <w:ilvl w:val="0"/>
          <w:numId w:val="15"/>
        </w:numPr>
        <w:rPr>
          <w:rFonts w:ascii="Times New Roman" w:hAnsi="Times New Roman"/>
        </w:rPr>
      </w:pPr>
      <w:r>
        <w:rPr>
          <w:rFonts w:ascii="Times New Roman" w:hAnsi="Times New Roman"/>
          <w:b/>
          <w:sz w:val="26"/>
          <w:szCs w:val="26"/>
          <w:u w:val="single"/>
          <w:lang w:val="en-GB"/>
        </w:rPr>
        <w:t>Strategic economic relationship</w:t>
      </w:r>
    </w:p>
    <w:p>
      <w:pPr>
        <w:pStyle w:val="Normal"/>
        <w:ind w:left="360" w:hanging="0"/>
        <w:jc w:val="both"/>
        <w:rPr>
          <w:rFonts w:ascii="Times New Roman" w:hAnsi="Times New Roman"/>
        </w:rPr>
      </w:pPr>
      <w:r>
        <w:rPr>
          <w:rFonts w:ascii="Times New Roman" w:hAnsi="Times New Roman"/>
          <w:sz w:val="26"/>
          <w:szCs w:val="26"/>
        </w:rPr>
        <w:t>During this period of 2022-23, the top Indian imports from Egypt were Mineral Oil/Petroleum, Fertilizers, Inorganic Chemicals and Cotton and main items of export to Egypt from India were Buffalo Meat, Iron &amp; Steel, Light Vehicles and Cotton Yarn. In 2023 according to the Egyptian Central Agency for Public Mobilization and Statistics (CAPMAS), India is 9</w:t>
      </w:r>
      <w:r>
        <w:rPr>
          <w:rFonts w:ascii="Times New Roman" w:hAnsi="Times New Roman"/>
          <w:sz w:val="26"/>
          <w:szCs w:val="26"/>
          <w:vertAlign w:val="superscript"/>
        </w:rPr>
        <w:t>th</w:t>
      </w:r>
      <w:r>
        <w:rPr>
          <w:rFonts w:ascii="Times New Roman" w:hAnsi="Times New Roman"/>
          <w:sz w:val="26"/>
          <w:szCs w:val="26"/>
        </w:rPr>
        <w:t xml:space="preserve"> largest export market for Egypt, </w:t>
      </w:r>
      <w:r>
        <w:rPr>
          <w:rFonts w:ascii="Times New Roman" w:hAnsi="Times New Roman"/>
          <w:sz w:val="26"/>
          <w:szCs w:val="26"/>
          <w:lang w:val="en-GB"/>
        </w:rPr>
        <w:t>India is the 9</w:t>
      </w:r>
      <w:r>
        <w:rPr>
          <w:rFonts w:ascii="Times New Roman" w:hAnsi="Times New Roman"/>
          <w:sz w:val="26"/>
          <w:szCs w:val="26"/>
          <w:vertAlign w:val="superscript"/>
          <w:lang w:val="en-GB"/>
        </w:rPr>
        <w:t>th</w:t>
      </w:r>
      <w:r>
        <w:rPr>
          <w:rFonts w:ascii="Times New Roman" w:hAnsi="Times New Roman"/>
          <w:sz w:val="26"/>
          <w:szCs w:val="26"/>
          <w:lang w:val="en-GB"/>
        </w:rPr>
        <w:t xml:space="preserve"> Largest Trading partner to Egypt with US 3.926 total trade (Apr 23 -</w:t>
      </w:r>
      <w:r>
        <w:rPr>
          <w:rFonts w:ascii="Times New Roman" w:hAnsi="Times New Roman"/>
          <w:sz w:val="26"/>
          <w:szCs w:val="26"/>
          <w:lang w:bidi="hi-IN"/>
        </w:rPr>
        <w:t xml:space="preserve"> June</w:t>
      </w:r>
      <w:r>
        <w:rPr>
          <w:rFonts w:ascii="Times New Roman" w:hAnsi="Times New Roman"/>
          <w:b/>
          <w:i/>
          <w:iCs/>
          <w:sz w:val="26"/>
          <w:szCs w:val="26"/>
          <w:lang w:val="en-GB"/>
        </w:rPr>
        <w:t xml:space="preserve"> </w:t>
      </w:r>
      <w:r>
        <w:rPr>
          <w:rFonts w:ascii="Times New Roman" w:hAnsi="Times New Roman"/>
          <w:sz w:val="26"/>
          <w:szCs w:val="26"/>
          <w:lang w:val="en-GB"/>
        </w:rPr>
        <w:t xml:space="preserve">23) and </w:t>
      </w:r>
      <w:r>
        <w:rPr>
          <w:rFonts w:ascii="Times New Roman" w:hAnsi="Times New Roman"/>
          <w:sz w:val="26"/>
          <w:szCs w:val="26"/>
        </w:rPr>
        <w:t>7</w:t>
      </w:r>
      <w:r>
        <w:rPr>
          <w:rFonts w:ascii="Times New Roman" w:hAnsi="Times New Roman"/>
          <w:sz w:val="26"/>
          <w:szCs w:val="26"/>
          <w:vertAlign w:val="superscript"/>
        </w:rPr>
        <w:t>th</w:t>
      </w:r>
      <w:r>
        <w:rPr>
          <w:rFonts w:ascii="Times New Roman" w:hAnsi="Times New Roman"/>
          <w:sz w:val="26"/>
          <w:szCs w:val="26"/>
        </w:rPr>
        <w:t xml:space="preserve"> largest exporter to Egypt</w:t>
      </w:r>
      <w:r>
        <w:rPr>
          <w:rFonts w:ascii="Times New Roman" w:hAnsi="Times New Roman"/>
          <w:sz w:val="26"/>
          <w:szCs w:val="26"/>
          <w:lang w:bidi="ar-EG"/>
        </w:rPr>
        <w:t>.</w:t>
      </w:r>
    </w:p>
    <w:p>
      <w:pPr>
        <w:pStyle w:val="Standard"/>
        <w:spacing w:lineRule="auto" w:line="276" w:before="0" w:after="0"/>
        <w:jc w:val="both"/>
        <w:rPr>
          <w:rFonts w:ascii="Times New Roman" w:hAnsi="Times New Roman" w:cs="Times New Roman"/>
          <w:b/>
          <w:bCs/>
          <w:sz w:val="26"/>
          <w:szCs w:val="26"/>
        </w:rPr>
      </w:pPr>
      <w:r>
        <w:rPr>
          <w:rFonts w:cs="Times New Roman" w:ascii="Times New Roman" w:hAnsi="Times New Roman"/>
          <w:b/>
          <w:bCs/>
          <w:sz w:val="26"/>
          <w:szCs w:val="26"/>
        </w:rPr>
      </w:r>
    </w:p>
    <w:p>
      <w:pPr>
        <w:pStyle w:val="WW-ListParagraph"/>
        <w:numPr>
          <w:ilvl w:val="0"/>
          <w:numId w:val="15"/>
        </w:numPr>
        <w:spacing w:lineRule="auto" w:line="276" w:before="0" w:after="200"/>
        <w:contextualSpacing/>
        <w:rPr>
          <w:rFonts w:ascii="Times New Roman" w:hAnsi="Times New Roman"/>
        </w:rPr>
      </w:pPr>
      <w:r>
        <w:rPr>
          <w:rFonts w:ascii="Times New Roman" w:hAnsi="Times New Roman"/>
          <w:b/>
          <w:sz w:val="26"/>
          <w:szCs w:val="26"/>
          <w:u w:val="single"/>
          <w:lang w:val="en-GB"/>
        </w:rPr>
        <w:t>Defence Cooperation between India and Egypt</w:t>
      </w:r>
    </w:p>
    <w:p>
      <w:pPr>
        <w:pStyle w:val="Standard"/>
        <w:spacing w:lineRule="auto" w:line="276" w:before="0" w:after="0"/>
        <w:ind w:left="360" w:hanging="0"/>
        <w:jc w:val="both"/>
        <w:rPr>
          <w:rFonts w:ascii="Times New Roman" w:hAnsi="Times New Roman" w:cs="Times New Roman"/>
          <w:color w:val="FF0000"/>
          <w:lang w:bidi="ar-EG"/>
        </w:rPr>
      </w:pPr>
      <w:r>
        <w:rPr>
          <w:rFonts w:cs="Times New Roman" w:ascii="Times New Roman" w:hAnsi="Times New Roman"/>
          <w:sz w:val="26"/>
          <w:szCs w:val="26"/>
        </w:rPr>
        <w:t xml:space="preserve">Lately there has been a significant increase in traction in Defense cooperation. Focused approach has led to gaining momentum and enhanced military engagement with the Egyptian Armed Forces. Other than subscribing to training courses like DSSC, NDC, NDA (new) and reciprocal delegation visits, Egyptian Military has increased its engagements highlighting the importance being accorded to the mutual relationship. First Joint Tactical Air Exercise involving fighter aircraft was conducted in Egypt from 29-31 Oct 2021. In addition, a Joint Special Forces Exercise, earlier planned in Jodhpur in May 21 is now planned in Jan 2022. Further, there is ever increasing transit traffic of Indian Air Force and Indian Naval aircraft through Egypt; in addition to the Suez Canal traffic and port visits by Indian Naval Ships. It is worthwhile to mention that all Indian military aircraft proceeding to North America, Europe or Russia, transit via Egypt. Same is the case for Egyptian Naval hospitality for Indian Naval ships during the frequent Suez Canal crossings and Port Calls along the Red &amp; Mediterranean Seas. It is also pertinent to highlight that two Port Calls by our frontline stealth frigate, INS Tabar, just 03 months apart (27-28 Jun &amp; 03-05 Sep 2021) demonstrate increase in operational engagements in all three dimensions. </w:t>
      </w:r>
    </w:p>
    <w:p>
      <w:pPr>
        <w:pStyle w:val="ListParagraph"/>
        <w:ind w:left="0" w:hanging="0"/>
        <w:rPr>
          <w:rFonts w:ascii="Times New Roman" w:hAnsi="Times New Roman"/>
          <w:b/>
          <w:color w:val="FF0000"/>
          <w:sz w:val="26"/>
          <w:szCs w:val="26"/>
          <w:u w:val="single"/>
          <w:lang w:val="en-GB"/>
        </w:rPr>
      </w:pPr>
      <w:r>
        <w:rPr>
          <w:rFonts w:ascii="Times New Roman" w:hAnsi="Times New Roman"/>
          <w:b/>
          <w:color w:val="FF0000"/>
          <w:sz w:val="26"/>
          <w:szCs w:val="26"/>
          <w:u w:val="single"/>
          <w:lang w:val="en-GB"/>
        </w:rPr>
      </w:r>
    </w:p>
    <w:p>
      <w:pPr>
        <w:pStyle w:val="ListParagraph"/>
        <w:ind w:left="0" w:hanging="0"/>
        <w:rPr>
          <w:rFonts w:ascii="Times New Roman" w:hAnsi="Times New Roman"/>
        </w:rPr>
      </w:pPr>
      <w:r>
        <w:rPr>
          <w:rFonts w:ascii="Times New Roman" w:hAnsi="Times New Roman"/>
          <w:b/>
          <w:sz w:val="26"/>
          <w:szCs w:val="26"/>
          <w:lang w:val="en-GB"/>
        </w:rPr>
        <w:t>14.</w:t>
      </w:r>
      <w:r>
        <w:rPr>
          <w:rFonts w:ascii="Times New Roman" w:hAnsi="Times New Roman"/>
          <w:b/>
          <w:sz w:val="26"/>
          <w:szCs w:val="26"/>
          <w:u w:val="single"/>
          <w:lang w:val="en-GB"/>
        </w:rPr>
        <w:t xml:space="preserve"> Indian COVID-19 Vaccine Recognition status</w:t>
      </w:r>
    </w:p>
    <w:p>
      <w:pPr>
        <w:pStyle w:val="Standard"/>
        <w:spacing w:lineRule="auto" w:line="276"/>
        <w:jc w:val="both"/>
        <w:rPr>
          <w:rFonts w:ascii="Times New Roman" w:hAnsi="Times New Roman" w:cs="Times New Roman"/>
        </w:rPr>
      </w:pPr>
      <w:r>
        <w:rPr>
          <w:rFonts w:cs="Times New Roman" w:ascii="Times New Roman" w:hAnsi="Times New Roman"/>
          <w:sz w:val="26"/>
          <w:szCs w:val="26"/>
        </w:rPr>
        <w:t>Covishield produced by SII, India is recognized by the Egyptian Ministry of Health and Population. The process of mutual recognition of vaccine certificates are underway.</w:t>
      </w:r>
    </w:p>
    <w:p>
      <w:pPr>
        <w:pStyle w:val="Standard"/>
        <w:spacing w:lineRule="auto" w:line="276"/>
        <w:jc w:val="both"/>
        <w:rPr>
          <w:rFonts w:ascii="Times New Roman" w:hAnsi="Times New Roman" w:cs="Times New Roman"/>
        </w:rPr>
      </w:pPr>
      <w:r>
        <w:rPr>
          <w:rFonts w:eastAsia="Calibri" w:cs="Times New Roman" w:ascii="Times New Roman" w:hAnsi="Times New Roman"/>
          <w:b/>
          <w:color w:val="auto"/>
          <w:sz w:val="26"/>
          <w:szCs w:val="26"/>
          <w:lang w:val="en-GB"/>
        </w:rPr>
        <w:t>15.</w:t>
      </w:r>
      <w:r>
        <w:rPr>
          <w:rFonts w:eastAsia="Calibri" w:cs="Times New Roman" w:ascii="Times New Roman" w:hAnsi="Times New Roman"/>
          <w:b/>
          <w:color w:val="auto"/>
          <w:sz w:val="26"/>
          <w:szCs w:val="26"/>
          <w:u w:val="single"/>
          <w:lang w:val="en-GB"/>
        </w:rPr>
        <w:t xml:space="preserve"> Details</w:t>
      </w:r>
      <w:r>
        <w:rPr>
          <w:rFonts w:cs="Times New Roman" w:ascii="Times New Roman" w:hAnsi="Times New Roman"/>
          <w:b/>
          <w:color w:val="auto"/>
          <w:sz w:val="26"/>
          <w:szCs w:val="26"/>
          <w:u w:val="single"/>
          <w:lang w:val="en-GB"/>
        </w:rPr>
        <w:t xml:space="preserve"> of recent Bilateral Exchanges of India with Egypt</w:t>
      </w:r>
    </w:p>
    <w:p>
      <w:pPr>
        <w:pStyle w:val="Normal"/>
        <w:rPr>
          <w:rFonts w:ascii="Times New Roman" w:hAnsi="Times New Roman"/>
          <w:lang w:bidi="ar-EG"/>
        </w:rPr>
      </w:pPr>
      <w:r>
        <w:rPr>
          <w:rFonts w:ascii="Times New Roman" w:hAnsi="Times New Roman"/>
          <w:bCs/>
          <w:sz w:val="26"/>
          <w:szCs w:val="26"/>
          <w:lang w:val="en-GB"/>
        </w:rPr>
        <w:t xml:space="preserve">12 Indian delegations participating at the Egyptian fairs as follows: </w:t>
      </w:r>
    </w:p>
    <w:tbl>
      <w:tblPr>
        <w:tblW w:w="9570" w:type="dxa"/>
        <w:jc w:val="left"/>
        <w:tblInd w:w="55" w:type="dxa"/>
        <w:tblLayout w:type="fixed"/>
        <w:tblCellMar>
          <w:top w:w="55" w:type="dxa"/>
          <w:left w:w="55" w:type="dxa"/>
          <w:bottom w:w="55" w:type="dxa"/>
          <w:right w:w="55" w:type="dxa"/>
        </w:tblCellMar>
        <w:tblLook w:val="04a0" w:noHBand="0" w:noVBand="1" w:firstColumn="1" w:lastRow="0" w:lastColumn="0" w:firstRow="1"/>
      </w:tblPr>
      <w:tblGrid>
        <w:gridCol w:w="808"/>
        <w:gridCol w:w="2431"/>
        <w:gridCol w:w="2436"/>
        <w:gridCol w:w="3894"/>
      </w:tblGrid>
      <w:tr>
        <w:trPr/>
        <w:tc>
          <w:tcPr>
            <w:tcW w:w="808" w:type="dxa"/>
            <w:tcBorders>
              <w:top w:val="single" w:sz="2" w:space="0" w:color="000000"/>
              <w:left w:val="single" w:sz="2" w:space="0" w:color="000000"/>
              <w:bottom w:val="single" w:sz="2" w:space="0" w:color="000000"/>
            </w:tcBorders>
          </w:tcPr>
          <w:p>
            <w:pPr>
              <w:pStyle w:val="Standard"/>
              <w:widowControl w:val="false"/>
              <w:spacing w:lineRule="auto" w:line="276" w:before="0" w:after="200"/>
              <w:jc w:val="both"/>
              <w:rPr>
                <w:rFonts w:ascii="Times New Roman" w:hAnsi="Times New Roman" w:cs="Times New Roman"/>
                <w:b/>
                <w:bCs/>
                <w:sz w:val="26"/>
                <w:szCs w:val="26"/>
              </w:rPr>
            </w:pPr>
            <w:r>
              <w:rPr>
                <w:rFonts w:cs="Times New Roman" w:ascii="Times New Roman" w:hAnsi="Times New Roman"/>
                <w:b/>
                <w:bCs/>
                <w:sz w:val="26"/>
                <w:szCs w:val="26"/>
              </w:rPr>
              <w:t>Sl. No.</w:t>
            </w:r>
          </w:p>
        </w:tc>
        <w:tc>
          <w:tcPr>
            <w:tcW w:w="2431" w:type="dxa"/>
            <w:tcBorders>
              <w:top w:val="single" w:sz="2" w:space="0" w:color="000000"/>
              <w:left w:val="single" w:sz="2" w:space="0" w:color="000000"/>
              <w:bottom w:val="single" w:sz="2" w:space="0" w:color="000000"/>
            </w:tcBorders>
          </w:tcPr>
          <w:p>
            <w:pPr>
              <w:pStyle w:val="Standard"/>
              <w:widowControl w:val="false"/>
              <w:spacing w:lineRule="auto" w:line="276" w:before="0" w:after="200"/>
              <w:jc w:val="both"/>
              <w:rPr>
                <w:rFonts w:ascii="Times New Roman" w:hAnsi="Times New Roman" w:cs="Times New Roman"/>
                <w:b/>
                <w:bCs/>
                <w:sz w:val="26"/>
                <w:szCs w:val="26"/>
              </w:rPr>
            </w:pPr>
            <w:r>
              <w:rPr>
                <w:rFonts w:cs="Times New Roman" w:ascii="Times New Roman" w:hAnsi="Times New Roman"/>
                <w:b/>
                <w:bCs/>
                <w:sz w:val="26"/>
                <w:szCs w:val="26"/>
              </w:rPr>
              <w:t>Name of Exhibition</w:t>
            </w:r>
          </w:p>
        </w:tc>
        <w:tc>
          <w:tcPr>
            <w:tcW w:w="2436" w:type="dxa"/>
            <w:tcBorders>
              <w:top w:val="single" w:sz="2" w:space="0" w:color="000000"/>
              <w:left w:val="single" w:sz="2" w:space="0" w:color="000000"/>
              <w:bottom w:val="single" w:sz="2" w:space="0" w:color="000000"/>
            </w:tcBorders>
          </w:tcPr>
          <w:p>
            <w:pPr>
              <w:pStyle w:val="Standard"/>
              <w:widowControl w:val="false"/>
              <w:spacing w:lineRule="auto" w:line="276" w:before="0" w:after="200"/>
              <w:jc w:val="both"/>
              <w:rPr>
                <w:rFonts w:ascii="Times New Roman" w:hAnsi="Times New Roman" w:cs="Times New Roman"/>
                <w:b/>
                <w:bCs/>
                <w:sz w:val="26"/>
                <w:szCs w:val="26"/>
              </w:rPr>
            </w:pPr>
            <w:r>
              <w:rPr>
                <w:rFonts w:cs="Times New Roman" w:ascii="Times New Roman" w:hAnsi="Times New Roman"/>
                <w:b/>
                <w:bCs/>
                <w:sz w:val="26"/>
                <w:szCs w:val="26"/>
              </w:rPr>
              <w:t>Date</w:t>
            </w:r>
          </w:p>
        </w:tc>
        <w:tc>
          <w:tcPr>
            <w:tcW w:w="3894" w:type="dxa"/>
            <w:tcBorders>
              <w:top w:val="single" w:sz="2" w:space="0" w:color="000000"/>
              <w:left w:val="single" w:sz="2" w:space="0" w:color="000000"/>
              <w:bottom w:val="single" w:sz="2" w:space="0" w:color="000000"/>
              <w:right w:val="single" w:sz="2" w:space="0" w:color="000000"/>
            </w:tcBorders>
          </w:tcPr>
          <w:p>
            <w:pPr>
              <w:pStyle w:val="Standard"/>
              <w:widowControl w:val="false"/>
              <w:spacing w:lineRule="auto" w:line="276" w:before="0" w:after="200"/>
              <w:jc w:val="both"/>
              <w:rPr>
                <w:rFonts w:ascii="Times New Roman" w:hAnsi="Times New Roman" w:cs="Times New Roman"/>
                <w:b/>
                <w:bCs/>
                <w:sz w:val="26"/>
                <w:szCs w:val="26"/>
              </w:rPr>
            </w:pPr>
            <w:r>
              <w:rPr>
                <w:rFonts w:cs="Times New Roman" w:ascii="Times New Roman" w:hAnsi="Times New Roman"/>
                <w:b/>
                <w:bCs/>
                <w:sz w:val="26"/>
                <w:szCs w:val="26"/>
              </w:rPr>
              <w:t>Details of delegation</w:t>
            </w:r>
          </w:p>
        </w:tc>
      </w:tr>
      <w:tr>
        <w:trPr>
          <w:trHeight w:val="1016" w:hRule="atLeast"/>
        </w:trPr>
        <w:tc>
          <w:tcPr>
            <w:tcW w:w="808" w:type="dxa"/>
            <w:tcBorders>
              <w:left w:val="single" w:sz="2" w:space="0" w:color="000000"/>
              <w:bottom w:val="single" w:sz="2"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1</w:t>
            </w:r>
          </w:p>
        </w:tc>
        <w:tc>
          <w:tcPr>
            <w:tcW w:w="2431" w:type="dxa"/>
            <w:tcBorders>
              <w:left w:val="single" w:sz="2" w:space="0" w:color="000000"/>
              <w:bottom w:val="single" w:sz="2"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Africa Food Manufacturing Exhibition</w:t>
            </w:r>
          </w:p>
        </w:tc>
        <w:tc>
          <w:tcPr>
            <w:tcW w:w="2436" w:type="dxa"/>
            <w:tcBorders>
              <w:left w:val="single" w:sz="2" w:space="0" w:color="000000"/>
              <w:bottom w:val="single" w:sz="2"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2-4 August, 2021</w:t>
            </w:r>
          </w:p>
        </w:tc>
        <w:tc>
          <w:tcPr>
            <w:tcW w:w="3894" w:type="dxa"/>
            <w:tcBorders>
              <w:left w:val="single" w:sz="2" w:space="0" w:color="000000"/>
              <w:bottom w:val="single" w:sz="2" w:space="0" w:color="000000"/>
              <w:right w:val="single" w:sz="2"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6 Indian companies in the field of food processing and manufacturing participated in the event</w:t>
            </w:r>
          </w:p>
        </w:tc>
      </w:tr>
      <w:tr>
        <w:trPr/>
        <w:tc>
          <w:tcPr>
            <w:tcW w:w="808" w:type="dxa"/>
            <w:tcBorders>
              <w:left w:val="single" w:sz="2" w:space="0" w:color="000000"/>
              <w:bottom w:val="single" w:sz="2"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2</w:t>
            </w:r>
          </w:p>
        </w:tc>
        <w:tc>
          <w:tcPr>
            <w:tcW w:w="2431" w:type="dxa"/>
            <w:tcBorders>
              <w:left w:val="single" w:sz="2" w:space="0" w:color="000000"/>
              <w:bottom w:val="single" w:sz="2"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Paper Middle East Exhibition PAPER ME</w:t>
            </w:r>
          </w:p>
        </w:tc>
        <w:tc>
          <w:tcPr>
            <w:tcW w:w="2436" w:type="dxa"/>
            <w:tcBorders>
              <w:left w:val="single" w:sz="2" w:space="0" w:color="000000"/>
              <w:bottom w:val="single" w:sz="2"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4-6 September, 2021</w:t>
            </w:r>
          </w:p>
        </w:tc>
        <w:tc>
          <w:tcPr>
            <w:tcW w:w="3894" w:type="dxa"/>
            <w:tcBorders>
              <w:left w:val="single" w:sz="2" w:space="0" w:color="000000"/>
              <w:bottom w:val="single" w:sz="2" w:space="0" w:color="000000"/>
              <w:right w:val="single" w:sz="2"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FIEO led a delegation of 27 companies in the field of paper manufacturing and paper technology</w:t>
            </w:r>
          </w:p>
        </w:tc>
      </w:tr>
      <w:tr>
        <w:trPr/>
        <w:tc>
          <w:tcPr>
            <w:tcW w:w="808" w:type="dxa"/>
            <w:tcBorders>
              <w:left w:val="single" w:sz="2" w:space="0" w:color="000000"/>
              <w:bottom w:val="single" w:sz="2"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3</w:t>
            </w:r>
          </w:p>
        </w:tc>
        <w:tc>
          <w:tcPr>
            <w:tcW w:w="2431" w:type="dxa"/>
            <w:tcBorders>
              <w:left w:val="single" w:sz="2" w:space="0" w:color="000000"/>
              <w:bottom w:val="single" w:sz="2"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BSM on India-Egypt Food Processing and Packaging Technology</w:t>
            </w:r>
          </w:p>
        </w:tc>
        <w:tc>
          <w:tcPr>
            <w:tcW w:w="2436" w:type="dxa"/>
            <w:tcBorders>
              <w:left w:val="single" w:sz="2" w:space="0" w:color="000000"/>
              <w:bottom w:val="single" w:sz="2"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19-21 September, 2021</w:t>
            </w:r>
          </w:p>
        </w:tc>
        <w:tc>
          <w:tcPr>
            <w:tcW w:w="3894" w:type="dxa"/>
            <w:tcBorders>
              <w:left w:val="single" w:sz="2" w:space="0" w:color="000000"/>
              <w:bottom w:val="single" w:sz="2" w:space="0" w:color="000000"/>
              <w:right w:val="single" w:sz="2"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15 companies led by TPCI organized the BSM in Cairo.</w:t>
            </w:r>
          </w:p>
        </w:tc>
      </w:tr>
      <w:tr>
        <w:trPr/>
        <w:tc>
          <w:tcPr>
            <w:tcW w:w="808" w:type="dxa"/>
            <w:tcBorders>
              <w:left w:val="single" w:sz="2" w:space="0" w:color="000000"/>
              <w:bottom w:val="single" w:sz="2"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4</w:t>
            </w:r>
          </w:p>
        </w:tc>
        <w:tc>
          <w:tcPr>
            <w:tcW w:w="2431" w:type="dxa"/>
            <w:tcBorders>
              <w:left w:val="single" w:sz="2" w:space="0" w:color="000000"/>
              <w:bottom w:val="single" w:sz="2"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Cairo Fashion &amp; Tex Exhibition</w:t>
            </w:r>
          </w:p>
        </w:tc>
        <w:tc>
          <w:tcPr>
            <w:tcW w:w="2436" w:type="dxa"/>
            <w:tcBorders>
              <w:left w:val="single" w:sz="2" w:space="0" w:color="000000"/>
              <w:bottom w:val="single" w:sz="2"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23-25 September, 2021</w:t>
            </w:r>
          </w:p>
        </w:tc>
        <w:tc>
          <w:tcPr>
            <w:tcW w:w="3894" w:type="dxa"/>
            <w:tcBorders>
              <w:left w:val="single" w:sz="2" w:space="0" w:color="000000"/>
              <w:bottom w:val="single" w:sz="2" w:space="0" w:color="000000"/>
              <w:right w:val="single" w:sz="2"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Wool &amp; Woollens Export Promotion Council led a delegation of 21 companies</w:t>
            </w:r>
          </w:p>
        </w:tc>
      </w:tr>
      <w:tr>
        <w:trPr/>
        <w:tc>
          <w:tcPr>
            <w:tcW w:w="808" w:type="dxa"/>
            <w:tcBorders>
              <w:left w:val="single" w:sz="2" w:space="0" w:color="000000"/>
              <w:bottom w:val="single" w:sz="2"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5</w:t>
            </w:r>
          </w:p>
        </w:tc>
        <w:tc>
          <w:tcPr>
            <w:tcW w:w="2431" w:type="dxa"/>
            <w:tcBorders>
              <w:left w:val="single" w:sz="2" w:space="0" w:color="000000"/>
              <w:bottom w:val="single" w:sz="2"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PHARMACONEX Exhibition</w:t>
            </w:r>
          </w:p>
        </w:tc>
        <w:tc>
          <w:tcPr>
            <w:tcW w:w="2436" w:type="dxa"/>
            <w:tcBorders>
              <w:left w:val="single" w:sz="2" w:space="0" w:color="000000"/>
              <w:bottom w:val="single" w:sz="2"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3-6 October, 2021</w:t>
            </w:r>
          </w:p>
        </w:tc>
        <w:tc>
          <w:tcPr>
            <w:tcW w:w="3894" w:type="dxa"/>
            <w:tcBorders>
              <w:left w:val="single" w:sz="2" w:space="0" w:color="000000"/>
              <w:bottom w:val="single" w:sz="2" w:space="0" w:color="000000"/>
              <w:right w:val="single" w:sz="2"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Pharmexcil led a delegation comprising of 26 Indian companies.</w:t>
            </w:r>
          </w:p>
        </w:tc>
      </w:tr>
      <w:tr>
        <w:trPr/>
        <w:tc>
          <w:tcPr>
            <w:tcW w:w="808" w:type="dxa"/>
            <w:tcBorders>
              <w:left w:val="single" w:sz="2" w:space="0" w:color="000000"/>
              <w:bottom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6</w:t>
            </w:r>
          </w:p>
        </w:tc>
        <w:tc>
          <w:tcPr>
            <w:tcW w:w="2431" w:type="dxa"/>
            <w:tcBorders>
              <w:left w:val="single" w:sz="2" w:space="0" w:color="000000"/>
              <w:bottom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Mac Tech</w:t>
            </w:r>
          </w:p>
        </w:tc>
        <w:tc>
          <w:tcPr>
            <w:tcW w:w="2436" w:type="dxa"/>
            <w:tcBorders>
              <w:left w:val="single" w:sz="2" w:space="0" w:color="000000"/>
              <w:bottom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9-12 December 2021</w:t>
            </w:r>
          </w:p>
        </w:tc>
        <w:tc>
          <w:tcPr>
            <w:tcW w:w="3894" w:type="dxa"/>
            <w:tcBorders>
              <w:left w:val="single" w:sz="2" w:space="0" w:color="000000"/>
              <w:bottom w:val="single" w:sz="4" w:space="0" w:color="000000"/>
              <w:right w:val="single" w:sz="2"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EEPC lead a 20 Indian companies’ delegation.</w:t>
            </w:r>
          </w:p>
        </w:tc>
      </w:tr>
      <w:tr>
        <w:trPr/>
        <w:tc>
          <w:tcPr>
            <w:tcW w:w="808"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7</w:t>
            </w:r>
          </w:p>
        </w:tc>
        <w:tc>
          <w:tcPr>
            <w:tcW w:w="2431"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Food Africa</w:t>
            </w:r>
          </w:p>
        </w:tc>
        <w:tc>
          <w:tcPr>
            <w:tcW w:w="2436"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12-15 December 2021</w:t>
            </w:r>
          </w:p>
        </w:tc>
        <w:tc>
          <w:tcPr>
            <w:tcW w:w="3894"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15 Indian companies participated in the event.</w:t>
            </w:r>
          </w:p>
        </w:tc>
      </w:tr>
      <w:tr>
        <w:trPr/>
        <w:tc>
          <w:tcPr>
            <w:tcW w:w="808"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8</w:t>
            </w:r>
          </w:p>
        </w:tc>
        <w:tc>
          <w:tcPr>
            <w:tcW w:w="2431"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Cairo International Fashion and Textile Expo</w:t>
            </w:r>
          </w:p>
        </w:tc>
        <w:tc>
          <w:tcPr>
            <w:tcW w:w="2436"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2-4 March 2022</w:t>
            </w:r>
          </w:p>
        </w:tc>
        <w:tc>
          <w:tcPr>
            <w:tcW w:w="3894"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TEXPROCIL lead a 15 Indian companies’ delegation.</w:t>
            </w:r>
          </w:p>
        </w:tc>
      </w:tr>
      <w:tr>
        <w:trPr/>
        <w:tc>
          <w:tcPr>
            <w:tcW w:w="808"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9</w:t>
            </w:r>
          </w:p>
        </w:tc>
        <w:tc>
          <w:tcPr>
            <w:tcW w:w="2431"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Egypt Projects Exhibition</w:t>
            </w:r>
          </w:p>
        </w:tc>
        <w:tc>
          <w:tcPr>
            <w:tcW w:w="2436"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17-19 March, 2022</w:t>
            </w:r>
          </w:p>
        </w:tc>
        <w:tc>
          <w:tcPr>
            <w:tcW w:w="3894"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CII headed a 35 Indian companies’ delegation.</w:t>
            </w:r>
          </w:p>
        </w:tc>
      </w:tr>
      <w:tr>
        <w:trPr/>
        <w:tc>
          <w:tcPr>
            <w:tcW w:w="808"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10</w:t>
            </w:r>
          </w:p>
        </w:tc>
        <w:tc>
          <w:tcPr>
            <w:tcW w:w="2431"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Africa Health ExCon</w:t>
            </w:r>
          </w:p>
        </w:tc>
        <w:tc>
          <w:tcPr>
            <w:tcW w:w="2436"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5-7 June 2022</w:t>
            </w:r>
          </w:p>
        </w:tc>
        <w:tc>
          <w:tcPr>
            <w:tcW w:w="3894"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Pharmexcil headed a 26 Indian companies’ delegation.</w:t>
            </w:r>
          </w:p>
        </w:tc>
      </w:tr>
      <w:tr>
        <w:trPr/>
        <w:tc>
          <w:tcPr>
            <w:tcW w:w="808"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11</w:t>
            </w:r>
          </w:p>
        </w:tc>
        <w:tc>
          <w:tcPr>
            <w:tcW w:w="2431"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Pharmaconex</w:t>
            </w:r>
          </w:p>
        </w:tc>
        <w:tc>
          <w:tcPr>
            <w:tcW w:w="2436"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4-6 Sept, 2022</w:t>
            </w:r>
          </w:p>
        </w:tc>
        <w:tc>
          <w:tcPr>
            <w:tcW w:w="3894"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46 Indian companies participated in the event.</w:t>
            </w:r>
          </w:p>
        </w:tc>
      </w:tr>
      <w:tr>
        <w:trPr/>
        <w:tc>
          <w:tcPr>
            <w:tcW w:w="808"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12</w:t>
            </w:r>
          </w:p>
        </w:tc>
        <w:tc>
          <w:tcPr>
            <w:tcW w:w="2431"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PAPER Middle East (ME)</w:t>
            </w:r>
          </w:p>
        </w:tc>
        <w:tc>
          <w:tcPr>
            <w:tcW w:w="2436"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3-5 Sept, 2022</w:t>
            </w:r>
          </w:p>
        </w:tc>
        <w:tc>
          <w:tcPr>
            <w:tcW w:w="3894"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FIEO headed a 30 member Indian companies’ delegation.</w:t>
            </w:r>
          </w:p>
        </w:tc>
      </w:tr>
      <w:tr>
        <w:trPr/>
        <w:tc>
          <w:tcPr>
            <w:tcW w:w="808"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13</w:t>
            </w:r>
          </w:p>
        </w:tc>
        <w:tc>
          <w:tcPr>
            <w:tcW w:w="2431"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Cairo Fashion and Tex exhibition</w:t>
            </w:r>
          </w:p>
        </w:tc>
        <w:tc>
          <w:tcPr>
            <w:tcW w:w="2436"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6-8 Oct, 2022</w:t>
            </w:r>
          </w:p>
        </w:tc>
        <w:tc>
          <w:tcPr>
            <w:tcW w:w="3894"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TEXPROCIL and PDEXCIL headed a 29-member delegation.</w:t>
            </w:r>
          </w:p>
        </w:tc>
      </w:tr>
      <w:tr>
        <w:trPr/>
        <w:tc>
          <w:tcPr>
            <w:tcW w:w="808"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14.</w:t>
            </w:r>
          </w:p>
        </w:tc>
        <w:tc>
          <w:tcPr>
            <w:tcW w:w="2431"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Egypt Energy Exhibition</w:t>
            </w:r>
          </w:p>
        </w:tc>
        <w:tc>
          <w:tcPr>
            <w:tcW w:w="2436"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30 Oct-2 Nov 2022</w:t>
            </w:r>
          </w:p>
        </w:tc>
        <w:tc>
          <w:tcPr>
            <w:tcW w:w="3894"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 xml:space="preserve">16 Indian companies participated. </w:t>
            </w:r>
          </w:p>
        </w:tc>
      </w:tr>
      <w:tr>
        <w:trPr/>
        <w:tc>
          <w:tcPr>
            <w:tcW w:w="808"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15.</w:t>
            </w:r>
          </w:p>
        </w:tc>
        <w:tc>
          <w:tcPr>
            <w:tcW w:w="2431"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Food Africa Egypt</w:t>
            </w:r>
          </w:p>
        </w:tc>
        <w:tc>
          <w:tcPr>
            <w:tcW w:w="2436"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5-7 December 2022</w:t>
            </w:r>
          </w:p>
        </w:tc>
        <w:tc>
          <w:tcPr>
            <w:tcW w:w="3894"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 xml:space="preserve">20 Indian companies participated including from Dairy sector. </w:t>
            </w:r>
          </w:p>
        </w:tc>
      </w:tr>
      <w:tr>
        <w:trPr/>
        <w:tc>
          <w:tcPr>
            <w:tcW w:w="808"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16.</w:t>
            </w:r>
          </w:p>
        </w:tc>
        <w:tc>
          <w:tcPr>
            <w:tcW w:w="2431"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India Africa Business Summit</w:t>
            </w:r>
          </w:p>
        </w:tc>
        <w:tc>
          <w:tcPr>
            <w:tcW w:w="2436"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22-23 January 2023</w:t>
            </w:r>
          </w:p>
        </w:tc>
        <w:tc>
          <w:tcPr>
            <w:tcW w:w="3894"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 xml:space="preserve">More than 30 Indian Services Sector company led by SEPC visited Cairo for B2B meetings. </w:t>
            </w:r>
          </w:p>
        </w:tc>
      </w:tr>
      <w:tr>
        <w:trPr/>
        <w:tc>
          <w:tcPr>
            <w:tcW w:w="808"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17.</w:t>
            </w:r>
          </w:p>
        </w:tc>
        <w:tc>
          <w:tcPr>
            <w:tcW w:w="2431"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Services Exports Promotion council Delegation</w:t>
            </w:r>
          </w:p>
        </w:tc>
        <w:tc>
          <w:tcPr>
            <w:tcW w:w="2436"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20-23 Jan, 2023</w:t>
            </w:r>
          </w:p>
        </w:tc>
        <w:tc>
          <w:tcPr>
            <w:tcW w:w="3894"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More than 20 Indian Companies services sector companies participated</w:t>
            </w:r>
          </w:p>
        </w:tc>
      </w:tr>
      <w:tr>
        <w:trPr/>
        <w:tc>
          <w:tcPr>
            <w:tcW w:w="808"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18.</w:t>
            </w:r>
          </w:p>
        </w:tc>
        <w:tc>
          <w:tcPr>
            <w:tcW w:w="2431"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EGYPSYS 2023</w:t>
            </w:r>
          </w:p>
        </w:tc>
        <w:tc>
          <w:tcPr>
            <w:tcW w:w="2436"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12-14 Feb, 2023</w:t>
            </w:r>
          </w:p>
        </w:tc>
        <w:tc>
          <w:tcPr>
            <w:tcW w:w="3894"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10 Indian Companies participated</w:t>
            </w:r>
          </w:p>
        </w:tc>
      </w:tr>
      <w:tr>
        <w:trPr/>
        <w:tc>
          <w:tcPr>
            <w:tcW w:w="808"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19.</w:t>
            </w:r>
          </w:p>
        </w:tc>
        <w:tc>
          <w:tcPr>
            <w:tcW w:w="2431"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Fi Africa and Pro Pak</w:t>
            </w:r>
          </w:p>
        </w:tc>
        <w:tc>
          <w:tcPr>
            <w:tcW w:w="2436"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28-30 May, 2023</w:t>
            </w:r>
          </w:p>
        </w:tc>
        <w:tc>
          <w:tcPr>
            <w:tcW w:w="3894"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More than 17 Indian companies were exhibiting.</w:t>
            </w:r>
          </w:p>
        </w:tc>
      </w:tr>
      <w:tr>
        <w:trPr/>
        <w:tc>
          <w:tcPr>
            <w:tcW w:w="808"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20.</w:t>
            </w:r>
          </w:p>
        </w:tc>
        <w:tc>
          <w:tcPr>
            <w:tcW w:w="2431"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Africa Health Ex Con</w:t>
            </w:r>
          </w:p>
        </w:tc>
        <w:tc>
          <w:tcPr>
            <w:tcW w:w="2436"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6-9 June, 2023</w:t>
            </w:r>
          </w:p>
        </w:tc>
        <w:tc>
          <w:tcPr>
            <w:tcW w:w="3894"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More than 23 Indian companies were exhibiting</w:t>
            </w:r>
          </w:p>
        </w:tc>
      </w:tr>
      <w:tr>
        <w:trPr/>
        <w:tc>
          <w:tcPr>
            <w:tcW w:w="808"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21.</w:t>
            </w:r>
          </w:p>
        </w:tc>
        <w:tc>
          <w:tcPr>
            <w:tcW w:w="2431"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Agro Egypt</w:t>
            </w:r>
          </w:p>
        </w:tc>
        <w:tc>
          <w:tcPr>
            <w:tcW w:w="2436"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9-12 July,2023</w:t>
            </w:r>
          </w:p>
        </w:tc>
        <w:tc>
          <w:tcPr>
            <w:tcW w:w="3894"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4 Indian companies attended the Event and business meetings.</w:t>
            </w:r>
          </w:p>
        </w:tc>
      </w:tr>
      <w:tr>
        <w:trPr/>
        <w:tc>
          <w:tcPr>
            <w:tcW w:w="808"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22.</w:t>
            </w:r>
          </w:p>
        </w:tc>
        <w:tc>
          <w:tcPr>
            <w:tcW w:w="2431"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Seamless North Africa</w:t>
            </w:r>
          </w:p>
        </w:tc>
        <w:tc>
          <w:tcPr>
            <w:tcW w:w="2436"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17-18 July, 2023</w:t>
            </w:r>
          </w:p>
        </w:tc>
        <w:tc>
          <w:tcPr>
            <w:tcW w:w="3894"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NPCI attended the event and had meetings with CBE, EBC and other payments stakeholders in Egypt.</w:t>
            </w:r>
          </w:p>
        </w:tc>
      </w:tr>
      <w:tr>
        <w:trPr/>
        <w:tc>
          <w:tcPr>
            <w:tcW w:w="808"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23.</w:t>
            </w:r>
          </w:p>
        </w:tc>
        <w:tc>
          <w:tcPr>
            <w:tcW w:w="2431"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Paper Middle East Exhibition PAPER ME</w:t>
            </w:r>
          </w:p>
        </w:tc>
        <w:tc>
          <w:tcPr>
            <w:tcW w:w="2436"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2</w:t>
            </w:r>
            <w:r>
              <w:rPr>
                <w:rFonts w:cs="Times New Roman" w:ascii="Times New Roman" w:hAnsi="Times New Roman"/>
                <w:sz w:val="26"/>
                <w:szCs w:val="26"/>
                <w:vertAlign w:val="superscript"/>
              </w:rPr>
              <w:t>nd</w:t>
            </w:r>
            <w:r>
              <w:rPr>
                <w:rFonts w:cs="Times New Roman" w:ascii="Times New Roman" w:hAnsi="Times New Roman"/>
                <w:sz w:val="26"/>
                <w:szCs w:val="26"/>
              </w:rPr>
              <w:t xml:space="preserve"> September, 2023</w:t>
            </w:r>
          </w:p>
        </w:tc>
        <w:tc>
          <w:tcPr>
            <w:tcW w:w="3894"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Ambassador inaugurated the Exhibition with the participation of 30 FIEO and Indian companies</w:t>
            </w:r>
          </w:p>
        </w:tc>
      </w:tr>
      <w:tr>
        <w:trPr/>
        <w:tc>
          <w:tcPr>
            <w:tcW w:w="808"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24.</w:t>
            </w:r>
          </w:p>
        </w:tc>
        <w:tc>
          <w:tcPr>
            <w:tcW w:w="2431"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Metal and Steel Exhibition</w:t>
            </w:r>
          </w:p>
        </w:tc>
        <w:tc>
          <w:tcPr>
            <w:tcW w:w="2436"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2</w:t>
            </w:r>
            <w:r>
              <w:rPr>
                <w:rFonts w:cs="Times New Roman" w:ascii="Times New Roman" w:hAnsi="Times New Roman"/>
                <w:sz w:val="26"/>
                <w:szCs w:val="26"/>
                <w:vertAlign w:val="superscript"/>
              </w:rPr>
              <w:t>nd</w:t>
            </w:r>
            <w:r>
              <w:rPr>
                <w:rFonts w:cs="Times New Roman" w:ascii="Times New Roman" w:hAnsi="Times New Roman"/>
                <w:sz w:val="26"/>
                <w:szCs w:val="26"/>
              </w:rPr>
              <w:t xml:space="preserve"> September, 2023</w:t>
            </w:r>
          </w:p>
        </w:tc>
        <w:tc>
          <w:tcPr>
            <w:tcW w:w="3894"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Ambassador inaugurated the Exhibition with the participation of 22 Indian companies</w:t>
            </w:r>
          </w:p>
        </w:tc>
      </w:tr>
      <w:tr>
        <w:trPr/>
        <w:tc>
          <w:tcPr>
            <w:tcW w:w="808"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25.</w:t>
            </w:r>
          </w:p>
        </w:tc>
        <w:tc>
          <w:tcPr>
            <w:tcW w:w="2431"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Pharmaconex</w:t>
            </w:r>
          </w:p>
        </w:tc>
        <w:tc>
          <w:tcPr>
            <w:tcW w:w="2436"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3</w:t>
            </w:r>
            <w:r>
              <w:rPr>
                <w:rFonts w:cs="Times New Roman" w:ascii="Times New Roman" w:hAnsi="Times New Roman"/>
                <w:sz w:val="26"/>
                <w:szCs w:val="26"/>
                <w:vertAlign w:val="superscript"/>
              </w:rPr>
              <w:t>rd</w:t>
            </w:r>
            <w:r>
              <w:rPr>
                <w:rFonts w:cs="Times New Roman" w:ascii="Times New Roman" w:hAnsi="Times New Roman"/>
                <w:sz w:val="26"/>
                <w:szCs w:val="26"/>
              </w:rPr>
              <w:t xml:space="preserve"> September, 2023</w:t>
            </w:r>
          </w:p>
        </w:tc>
        <w:tc>
          <w:tcPr>
            <w:tcW w:w="3894"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Ambassador inaugurated the Exhibition with the participation of 65 Indian companies</w:t>
            </w:r>
          </w:p>
        </w:tc>
      </w:tr>
      <w:tr>
        <w:trPr/>
        <w:tc>
          <w:tcPr>
            <w:tcW w:w="808"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26.</w:t>
            </w:r>
          </w:p>
        </w:tc>
        <w:tc>
          <w:tcPr>
            <w:tcW w:w="2431"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Sahara Exhibition</w:t>
            </w:r>
          </w:p>
        </w:tc>
        <w:tc>
          <w:tcPr>
            <w:tcW w:w="2436"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10</w:t>
            </w:r>
            <w:r>
              <w:rPr>
                <w:rFonts w:cs="Times New Roman" w:ascii="Times New Roman" w:hAnsi="Times New Roman"/>
                <w:sz w:val="26"/>
                <w:szCs w:val="26"/>
                <w:vertAlign w:val="superscript"/>
              </w:rPr>
              <w:t>th</w:t>
            </w:r>
            <w:r>
              <w:rPr>
                <w:rFonts w:cs="Times New Roman" w:ascii="Times New Roman" w:hAnsi="Times New Roman"/>
                <w:sz w:val="26"/>
                <w:szCs w:val="26"/>
              </w:rPr>
              <w:t>-12</w:t>
            </w:r>
            <w:r>
              <w:rPr>
                <w:rFonts w:cs="Times New Roman" w:ascii="Times New Roman" w:hAnsi="Times New Roman"/>
                <w:sz w:val="26"/>
                <w:szCs w:val="26"/>
                <w:vertAlign w:val="superscript"/>
              </w:rPr>
              <w:t>th</w:t>
            </w:r>
            <w:r>
              <w:rPr>
                <w:rFonts w:cs="Times New Roman" w:ascii="Times New Roman" w:hAnsi="Times New Roman"/>
                <w:sz w:val="26"/>
                <w:szCs w:val="26"/>
              </w:rPr>
              <w:t xml:space="preserve"> September, 2023</w:t>
            </w:r>
          </w:p>
        </w:tc>
        <w:tc>
          <w:tcPr>
            <w:tcW w:w="3894"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The commercial wing participated and interacted with the (7) Indian exhibitors at the exhibition.</w:t>
            </w:r>
          </w:p>
        </w:tc>
      </w:tr>
      <w:tr>
        <w:trPr/>
        <w:tc>
          <w:tcPr>
            <w:tcW w:w="808"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27.</w:t>
            </w:r>
          </w:p>
        </w:tc>
        <w:tc>
          <w:tcPr>
            <w:tcW w:w="2431"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Hydrogen Egypt Summit</w:t>
            </w:r>
          </w:p>
        </w:tc>
        <w:tc>
          <w:tcPr>
            <w:tcW w:w="2436"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13</w:t>
            </w:r>
            <w:r>
              <w:rPr>
                <w:rFonts w:cs="Times New Roman" w:ascii="Times New Roman" w:hAnsi="Times New Roman"/>
                <w:sz w:val="26"/>
                <w:szCs w:val="26"/>
                <w:vertAlign w:val="superscript"/>
              </w:rPr>
              <w:t>th</w:t>
            </w:r>
            <w:r>
              <w:rPr>
                <w:rFonts w:cs="Times New Roman" w:ascii="Times New Roman" w:hAnsi="Times New Roman"/>
                <w:sz w:val="26"/>
                <w:szCs w:val="26"/>
              </w:rPr>
              <w:t xml:space="preserve"> September, 2023</w:t>
            </w:r>
          </w:p>
        </w:tc>
        <w:tc>
          <w:tcPr>
            <w:tcW w:w="3894"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Ambassador participated in a panel about the future of Green Hydrogen</w:t>
            </w:r>
          </w:p>
        </w:tc>
      </w:tr>
      <w:tr>
        <w:trPr/>
        <w:tc>
          <w:tcPr>
            <w:tcW w:w="808"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28.</w:t>
            </w:r>
          </w:p>
        </w:tc>
        <w:tc>
          <w:tcPr>
            <w:tcW w:w="2431"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CII Delegation</w:t>
            </w:r>
          </w:p>
        </w:tc>
        <w:tc>
          <w:tcPr>
            <w:tcW w:w="2436"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3-5 October 2023</w:t>
            </w:r>
          </w:p>
        </w:tc>
        <w:tc>
          <w:tcPr>
            <w:tcW w:w="3894"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Around 17 Members of CII had meetings and interacted with the Egyptian Government</w:t>
            </w:r>
          </w:p>
        </w:tc>
      </w:tr>
      <w:tr>
        <w:trPr/>
        <w:tc>
          <w:tcPr>
            <w:tcW w:w="808"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29.</w:t>
            </w:r>
          </w:p>
        </w:tc>
        <w:tc>
          <w:tcPr>
            <w:tcW w:w="2431"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India Real State Event (CREDAI NATCON Sharm El Sheikh)</w:t>
            </w:r>
          </w:p>
        </w:tc>
        <w:tc>
          <w:tcPr>
            <w:tcW w:w="2436"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5-6 October 2023, 2023</w:t>
            </w:r>
          </w:p>
        </w:tc>
        <w:tc>
          <w:tcPr>
            <w:tcW w:w="3894"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Ambassador and Egyptian PM participated along with Members of CII, Indian businessmen and 1350 Indians Came in the event.</w:t>
            </w:r>
          </w:p>
        </w:tc>
      </w:tr>
      <w:tr>
        <w:trPr/>
        <w:tc>
          <w:tcPr>
            <w:tcW w:w="808"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30.</w:t>
            </w:r>
          </w:p>
        </w:tc>
        <w:tc>
          <w:tcPr>
            <w:tcW w:w="2431"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Food Africa</w:t>
            </w:r>
          </w:p>
        </w:tc>
        <w:tc>
          <w:tcPr>
            <w:tcW w:w="2436"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13 December 2023, 2023</w:t>
            </w:r>
          </w:p>
        </w:tc>
        <w:tc>
          <w:tcPr>
            <w:tcW w:w="3894"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Minister of Supply &amp; Internal Trade H.E. Mr. Ali Moselhi inaugurated India Pavilion at #foodafricacairo on 12 December 2023. More than 40 Indian companies displayed various products including #Basmati Rice, Spices, Tea &amp; Processed Food.</w:t>
            </w:r>
          </w:p>
        </w:tc>
      </w:tr>
      <w:tr>
        <w:trPr/>
        <w:tc>
          <w:tcPr>
            <w:tcW w:w="808"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31.</w:t>
            </w:r>
          </w:p>
        </w:tc>
        <w:tc>
          <w:tcPr>
            <w:tcW w:w="2431"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EGYPES</w:t>
            </w:r>
          </w:p>
        </w:tc>
        <w:tc>
          <w:tcPr>
            <w:tcW w:w="2436"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19-21 February 2024</w:t>
            </w:r>
          </w:p>
        </w:tc>
        <w:tc>
          <w:tcPr>
            <w:tcW w:w="3894"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Around 12 companies participated in the event as exhibitors</w:t>
            </w:r>
          </w:p>
        </w:tc>
      </w:tr>
      <w:tr>
        <w:trPr/>
        <w:tc>
          <w:tcPr>
            <w:tcW w:w="808"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32.</w:t>
            </w:r>
          </w:p>
        </w:tc>
        <w:tc>
          <w:tcPr>
            <w:tcW w:w="2431"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Cafex</w:t>
            </w:r>
          </w:p>
        </w:tc>
        <w:tc>
          <w:tcPr>
            <w:tcW w:w="2436"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18</w:t>
            </w:r>
            <w:r>
              <w:rPr>
                <w:rFonts w:cs="Times New Roman" w:ascii="Times New Roman" w:hAnsi="Times New Roman"/>
                <w:sz w:val="26"/>
                <w:szCs w:val="26"/>
                <w:vertAlign w:val="superscript"/>
              </w:rPr>
              <w:t>th</w:t>
            </w:r>
            <w:r>
              <w:rPr>
                <w:rFonts w:cs="Times New Roman" w:ascii="Times New Roman" w:hAnsi="Times New Roman"/>
                <w:sz w:val="26"/>
                <w:szCs w:val="26"/>
              </w:rPr>
              <w:t xml:space="preserve"> April 2024</w:t>
            </w:r>
          </w:p>
        </w:tc>
        <w:tc>
          <w:tcPr>
            <w:tcW w:w="3894"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Featuring more than 120 key exhibitors covering the full spectrum of the Hospitality.</w:t>
            </w:r>
          </w:p>
        </w:tc>
      </w:tr>
      <w:tr>
        <w:trPr/>
        <w:tc>
          <w:tcPr>
            <w:tcW w:w="808"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33.</w:t>
            </w:r>
          </w:p>
        </w:tc>
        <w:tc>
          <w:tcPr>
            <w:tcW w:w="2431"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Waterex</w:t>
            </w:r>
          </w:p>
        </w:tc>
        <w:tc>
          <w:tcPr>
            <w:tcW w:w="2436"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28</w:t>
            </w:r>
            <w:r>
              <w:rPr>
                <w:rFonts w:cs="Times New Roman" w:ascii="Times New Roman" w:hAnsi="Times New Roman"/>
                <w:sz w:val="26"/>
                <w:szCs w:val="26"/>
                <w:vertAlign w:val="superscript"/>
              </w:rPr>
              <w:t>th</w:t>
            </w:r>
            <w:r>
              <w:rPr>
                <w:rFonts w:cs="Times New Roman" w:ascii="Times New Roman" w:hAnsi="Times New Roman"/>
                <w:sz w:val="26"/>
                <w:szCs w:val="26"/>
              </w:rPr>
              <w:t xml:space="preserve"> April 2024</w:t>
            </w:r>
          </w:p>
        </w:tc>
        <w:tc>
          <w:tcPr>
            <w:tcW w:w="3894" w:type="dxa"/>
            <w:tcBorders>
              <w:top w:val="single" w:sz="4" w:space="0" w:color="000000"/>
              <w:left w:val="single" w:sz="4" w:space="0" w:color="000000"/>
              <w:bottom w:val="single" w:sz="4" w:space="0" w:color="000000"/>
              <w:right w:val="single" w:sz="4" w:space="0" w:color="000000"/>
            </w:tcBorders>
          </w:tcPr>
          <w:p>
            <w:pPr>
              <w:pStyle w:val="Standard"/>
              <w:widowControl w:val="false"/>
              <w:spacing w:lineRule="auto" w:line="276"/>
              <w:jc w:val="both"/>
              <w:rPr>
                <w:rFonts w:ascii="Times New Roman" w:hAnsi="Times New Roman" w:cs="Times New Roman"/>
                <w:sz w:val="26"/>
                <w:szCs w:val="26"/>
              </w:rPr>
            </w:pPr>
            <w:r>
              <w:rPr>
                <w:rFonts w:cs="Times New Roman" w:ascii="Times New Roman" w:hAnsi="Times New Roman"/>
                <w:sz w:val="26"/>
                <w:szCs w:val="26"/>
              </w:rPr>
              <w:t>Around 3 companies participated in the event as exhibitors</w:t>
            </w:r>
          </w:p>
          <w:p>
            <w:pPr>
              <w:pStyle w:val="Standard"/>
              <w:widowControl w:val="false"/>
              <w:spacing w:lineRule="auto" w:line="276" w:before="0" w:after="200"/>
              <w:jc w:val="both"/>
              <w:rPr>
                <w:rFonts w:ascii="Times New Roman" w:hAnsi="Times New Roman" w:cs="Times New Roman"/>
                <w:sz w:val="26"/>
                <w:szCs w:val="26"/>
              </w:rPr>
            </w:pPr>
            <w:r>
              <w:rPr>
                <w:rFonts w:cs="Times New Roman" w:ascii="Times New Roman" w:hAnsi="Times New Roman"/>
                <w:sz w:val="26"/>
                <w:szCs w:val="26"/>
              </w:rPr>
              <w:t>The Watrex Expo is a significant international trade fair for water and wastewater technology</w:t>
            </w:r>
          </w:p>
        </w:tc>
      </w:tr>
    </w:tbl>
    <w:p>
      <w:pPr>
        <w:pStyle w:val="Normal"/>
        <w:rPr>
          <w:rFonts w:ascii="Times New Roman" w:hAnsi="Times New Roman"/>
          <w:b/>
          <w:caps/>
          <w:sz w:val="26"/>
          <w:szCs w:val="26"/>
          <w:u w:val="single"/>
          <w:lang w:val="en-GB"/>
        </w:rPr>
      </w:pPr>
      <w:r>
        <w:rPr>
          <w:rFonts w:ascii="Times New Roman" w:hAnsi="Times New Roman"/>
          <w:b/>
          <w:caps/>
          <w:sz w:val="26"/>
          <w:szCs w:val="26"/>
          <w:u w:val="single"/>
          <w:lang w:val="en-GB"/>
        </w:rPr>
      </w:r>
    </w:p>
    <w:p>
      <w:pPr>
        <w:pStyle w:val="Normal"/>
        <w:jc w:val="center"/>
        <w:rPr>
          <w:rFonts w:ascii="Times New Roman" w:hAnsi="Times New Roman"/>
        </w:rPr>
      </w:pPr>
      <w:r>
        <w:rPr>
          <w:rFonts w:ascii="Times New Roman" w:hAnsi="Times New Roman"/>
          <w:b/>
          <w:caps/>
          <w:sz w:val="26"/>
          <w:szCs w:val="26"/>
          <w:u w:val="single"/>
          <w:lang w:val="en-GB"/>
        </w:rPr>
        <w:t>Annex</w:t>
      </w:r>
    </w:p>
    <w:p>
      <w:pPr>
        <w:pStyle w:val="ListParagraph"/>
        <w:numPr>
          <w:ilvl w:val="0"/>
          <w:numId w:val="2"/>
        </w:numPr>
        <w:jc w:val="both"/>
        <w:rPr>
          <w:rFonts w:ascii="Times New Roman" w:hAnsi="Times New Roman"/>
        </w:rPr>
      </w:pPr>
      <w:r>
        <w:rPr>
          <w:rFonts w:ascii="Times New Roman" w:hAnsi="Times New Roman"/>
          <w:b/>
          <w:sz w:val="26"/>
          <w:szCs w:val="26"/>
          <w:u w:val="single"/>
          <w:lang w:val="en-GB"/>
        </w:rPr>
        <w:t>Ongoing Bilateral Trade Issues (in brief)</w:t>
      </w:r>
    </w:p>
    <w:p>
      <w:pPr>
        <w:pStyle w:val="Normal"/>
        <w:jc w:val="both"/>
        <w:rPr>
          <w:rFonts w:ascii="Times New Roman" w:hAnsi="Times New Roman"/>
        </w:rPr>
      </w:pPr>
      <w:r>
        <w:rPr>
          <w:rFonts w:eastAsia="Times New Roman" w:ascii="Times New Roman" w:hAnsi="Times New Roman"/>
          <w:b/>
          <w:sz w:val="26"/>
          <w:szCs w:val="26"/>
          <w:u w:val="single"/>
          <w:lang w:val="en-GB"/>
        </w:rPr>
        <w:t xml:space="preserve"> </w:t>
      </w:r>
      <w:r>
        <w:rPr>
          <w:rFonts w:ascii="Times New Roman" w:hAnsi="Times New Roman"/>
          <w:b/>
          <w:sz w:val="26"/>
          <w:szCs w:val="26"/>
          <w:u w:val="single"/>
          <w:lang w:val="en-GB"/>
        </w:rPr>
        <w:t>India’s Concerns</w:t>
      </w:r>
    </w:p>
    <w:tbl>
      <w:tblPr>
        <w:tblW w:w="9026" w:type="dxa"/>
        <w:jc w:val="left"/>
        <w:tblInd w:w="-118" w:type="dxa"/>
        <w:tblLayout w:type="fixed"/>
        <w:tblCellMar>
          <w:top w:w="0" w:type="dxa"/>
          <w:left w:w="108" w:type="dxa"/>
          <w:bottom w:w="0" w:type="dxa"/>
          <w:right w:w="108" w:type="dxa"/>
        </w:tblCellMar>
        <w:tblLook w:val="0000" w:noHBand="0" w:noVBand="0" w:firstColumn="0" w:lastRow="0" w:lastColumn="0" w:firstRow="0"/>
      </w:tblPr>
      <w:tblGrid>
        <w:gridCol w:w="4134"/>
        <w:gridCol w:w="4891"/>
      </w:tblGrid>
      <w:tr>
        <w:trPr/>
        <w:tc>
          <w:tcPr>
            <w:tcW w:w="4134"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jc w:val="both"/>
              <w:rPr>
                <w:rFonts w:ascii="Times New Roman" w:hAnsi="Times New Roman"/>
              </w:rPr>
            </w:pPr>
            <w:r>
              <w:rPr>
                <w:rFonts w:ascii="Times New Roman" w:hAnsi="Times New Roman"/>
                <w:b/>
                <w:sz w:val="26"/>
                <w:szCs w:val="26"/>
                <w:lang w:bidi="hi-IN"/>
              </w:rPr>
              <w:t xml:space="preserve">Issues </w:t>
            </w:r>
          </w:p>
        </w:tc>
        <w:tc>
          <w:tcPr>
            <w:tcW w:w="489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rPr>
            </w:pPr>
            <w:r>
              <w:rPr>
                <w:rFonts w:ascii="Times New Roman" w:hAnsi="Times New Roman"/>
                <w:b/>
                <w:sz w:val="26"/>
                <w:szCs w:val="26"/>
                <w:lang w:bidi="hi-IN"/>
              </w:rPr>
              <w:t>Status</w:t>
            </w:r>
          </w:p>
        </w:tc>
      </w:tr>
      <w:tr>
        <w:trPr/>
        <w:tc>
          <w:tcPr>
            <w:tcW w:w="4134"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jc w:val="both"/>
              <w:rPr>
                <w:rFonts w:ascii="Times New Roman" w:hAnsi="Times New Roman"/>
              </w:rPr>
            </w:pPr>
            <w:r>
              <w:rPr>
                <w:rFonts w:ascii="Times New Roman" w:hAnsi="Times New Roman"/>
                <w:bCs/>
                <w:sz w:val="26"/>
                <w:szCs w:val="26"/>
                <w:lang w:bidi="hi-IN"/>
              </w:rPr>
              <w:t>Inclusion of India in the 22 Reference countries in Pharmaceuticals.</w:t>
            </w:r>
          </w:p>
        </w:tc>
        <w:tc>
          <w:tcPr>
            <w:tcW w:w="489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sz w:val="26"/>
                <w:szCs w:val="26"/>
                <w:lang w:bidi="hi-IN"/>
              </w:rPr>
              <w:t xml:space="preserve">The issue was discussed in the last JWG on Pharmaceuticals held in March 2022. There needs to be institution level dialogue mechanism between Egyptian Drug Authority and CDSCO in order to include India in the list of 22 reference countries, which was last updated in 2009. </w:t>
            </w:r>
          </w:p>
        </w:tc>
      </w:tr>
      <w:tr>
        <w:trPr/>
        <w:tc>
          <w:tcPr>
            <w:tcW w:w="4134"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jc w:val="both"/>
              <w:rPr>
                <w:rFonts w:ascii="Times New Roman" w:hAnsi="Times New Roman"/>
              </w:rPr>
            </w:pPr>
            <w:r>
              <w:rPr>
                <w:rFonts w:ascii="Times New Roman" w:hAnsi="Times New Roman"/>
                <w:bCs/>
                <w:sz w:val="26"/>
                <w:szCs w:val="26"/>
                <w:lang w:bidi="hi-IN"/>
              </w:rPr>
              <w:t xml:space="preserve">PRA exercises for Date palm seedlings, coconut seedlings and cotton. </w:t>
            </w:r>
          </w:p>
        </w:tc>
        <w:tc>
          <w:tcPr>
            <w:tcW w:w="489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rPr>
            </w:pPr>
            <w:r>
              <w:rPr>
                <w:rFonts w:ascii="Times New Roman" w:hAnsi="Times New Roman"/>
                <w:sz w:val="26"/>
                <w:szCs w:val="26"/>
                <w:lang w:bidi="hi-IN"/>
              </w:rPr>
              <w:t xml:space="preserve">Visit by Egyptian inspectors to Indian facilities is pending. </w:t>
            </w:r>
          </w:p>
        </w:tc>
      </w:tr>
    </w:tbl>
    <w:p>
      <w:pPr>
        <w:pStyle w:val="Normal"/>
        <w:jc w:val="both"/>
        <w:rPr>
          <w:rFonts w:ascii="Times New Roman" w:hAnsi="Times New Roman"/>
          <w:b/>
          <w:sz w:val="26"/>
          <w:szCs w:val="26"/>
          <w:u w:val="single"/>
          <w:lang w:val="en-GB"/>
        </w:rPr>
      </w:pPr>
      <w:r>
        <w:rPr>
          <w:rFonts w:ascii="Times New Roman" w:hAnsi="Times New Roman"/>
          <w:b/>
          <w:sz w:val="26"/>
          <w:szCs w:val="26"/>
          <w:u w:val="single"/>
          <w:lang w:val="en-GB"/>
        </w:rPr>
      </w:r>
    </w:p>
    <w:p>
      <w:pPr>
        <w:pStyle w:val="Normal"/>
        <w:jc w:val="both"/>
        <w:rPr>
          <w:rFonts w:ascii="Times New Roman" w:hAnsi="Times New Roman"/>
        </w:rPr>
      </w:pPr>
      <w:r>
        <w:rPr>
          <w:rFonts w:ascii="Times New Roman" w:hAnsi="Times New Roman"/>
          <w:b/>
          <w:sz w:val="26"/>
          <w:szCs w:val="26"/>
        </w:rPr>
        <w:t>Egypt Concerns</w:t>
      </w:r>
    </w:p>
    <w:tbl>
      <w:tblPr>
        <w:tblW w:w="9026" w:type="dxa"/>
        <w:jc w:val="left"/>
        <w:tblInd w:w="-118" w:type="dxa"/>
        <w:tblLayout w:type="fixed"/>
        <w:tblCellMar>
          <w:top w:w="0" w:type="dxa"/>
          <w:left w:w="108" w:type="dxa"/>
          <w:bottom w:w="0" w:type="dxa"/>
          <w:right w:w="108" w:type="dxa"/>
        </w:tblCellMar>
        <w:tblLook w:val="0000" w:noHBand="0" w:noVBand="0" w:firstColumn="0" w:lastRow="0" w:lastColumn="0" w:firstRow="0"/>
      </w:tblPr>
      <w:tblGrid>
        <w:gridCol w:w="4134"/>
        <w:gridCol w:w="4891"/>
      </w:tblGrid>
      <w:tr>
        <w:trPr/>
        <w:tc>
          <w:tcPr>
            <w:tcW w:w="4134"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jc w:val="both"/>
              <w:rPr>
                <w:rFonts w:ascii="Times New Roman" w:hAnsi="Times New Roman"/>
              </w:rPr>
            </w:pPr>
            <w:r>
              <w:rPr>
                <w:rFonts w:ascii="Times New Roman" w:hAnsi="Times New Roman"/>
                <w:b/>
                <w:sz w:val="26"/>
                <w:szCs w:val="26"/>
                <w:lang w:bidi="hi-IN"/>
              </w:rPr>
              <w:t xml:space="preserve">Issues </w:t>
            </w:r>
          </w:p>
        </w:tc>
        <w:tc>
          <w:tcPr>
            <w:tcW w:w="489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rPr>
            </w:pPr>
            <w:r>
              <w:rPr>
                <w:rFonts w:ascii="Times New Roman" w:hAnsi="Times New Roman"/>
                <w:b/>
                <w:sz w:val="26"/>
                <w:szCs w:val="26"/>
                <w:lang w:bidi="hi-IN"/>
              </w:rPr>
              <w:t>Status</w:t>
            </w:r>
          </w:p>
        </w:tc>
      </w:tr>
      <w:tr>
        <w:trPr/>
        <w:tc>
          <w:tcPr>
            <w:tcW w:w="4134"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jc w:val="both"/>
              <w:rPr>
                <w:rFonts w:ascii="Times New Roman" w:hAnsi="Times New Roman"/>
              </w:rPr>
            </w:pPr>
            <w:r>
              <w:rPr>
                <w:rFonts w:ascii="Times New Roman" w:hAnsi="Times New Roman"/>
                <w:bCs/>
                <w:sz w:val="26"/>
                <w:szCs w:val="26"/>
                <w:lang w:bidi="hi-IN"/>
              </w:rPr>
              <w:t>Export of Pomegranate from Egypt to India</w:t>
            </w:r>
          </w:p>
        </w:tc>
        <w:tc>
          <w:tcPr>
            <w:tcW w:w="489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rPr>
            </w:pPr>
            <w:r>
              <w:rPr>
                <w:rFonts w:ascii="Times New Roman" w:hAnsi="Times New Roman"/>
                <w:bCs/>
                <w:sz w:val="26"/>
                <w:szCs w:val="26"/>
                <w:lang w:bidi="hi-IN"/>
              </w:rPr>
              <w:t>Egypt shared technical information on Egyptian pomegranate in September 2020.</w:t>
            </w:r>
          </w:p>
          <w:p>
            <w:pPr>
              <w:pStyle w:val="Normal"/>
              <w:widowControl w:val="false"/>
              <w:spacing w:lineRule="auto" w:line="240" w:before="0" w:after="0"/>
              <w:jc w:val="both"/>
              <w:rPr>
                <w:rFonts w:ascii="Times New Roman" w:hAnsi="Times New Roman"/>
              </w:rPr>
            </w:pPr>
            <w:r>
              <w:rPr>
                <w:rFonts w:ascii="Times New Roman" w:hAnsi="Times New Roman"/>
                <w:sz w:val="26"/>
                <w:szCs w:val="26"/>
              </w:rPr>
              <w:t>The Indian Ministry of Agriculture shared the Pest Risk Analysis PRA report on 14</w:t>
            </w:r>
            <w:r>
              <w:rPr>
                <w:rFonts w:ascii="Times New Roman" w:hAnsi="Times New Roman"/>
                <w:sz w:val="26"/>
                <w:szCs w:val="26"/>
                <w:vertAlign w:val="superscript"/>
              </w:rPr>
              <w:t>th</w:t>
            </w:r>
            <w:r>
              <w:rPr>
                <w:rFonts w:ascii="Times New Roman" w:hAnsi="Times New Roman"/>
                <w:sz w:val="26"/>
                <w:szCs w:val="26"/>
              </w:rPr>
              <w:t xml:space="preserve"> August and mission shared it with the Egyptian side and awaiting for the feedback.</w:t>
            </w:r>
          </w:p>
        </w:tc>
      </w:tr>
    </w:tbl>
    <w:p>
      <w:pPr>
        <w:pStyle w:val="Normal"/>
        <w:jc w:val="both"/>
        <w:rPr>
          <w:rFonts w:ascii="Times New Roman" w:hAnsi="Times New Roman"/>
          <w:b/>
          <w:color w:val="FF0000"/>
          <w:sz w:val="26"/>
          <w:szCs w:val="26"/>
          <w:u w:val="single"/>
          <w:lang w:val="en-GB"/>
        </w:rPr>
      </w:pPr>
      <w:r>
        <w:rPr>
          <w:rFonts w:ascii="Times New Roman" w:hAnsi="Times New Roman"/>
          <w:b/>
          <w:color w:val="FF0000"/>
          <w:sz w:val="26"/>
          <w:szCs w:val="26"/>
          <w:u w:val="single"/>
          <w:lang w:val="en-GB"/>
        </w:rPr>
      </w:r>
    </w:p>
    <w:p>
      <w:pPr>
        <w:pStyle w:val="Normal"/>
        <w:jc w:val="both"/>
        <w:rPr>
          <w:rFonts w:ascii="Times New Roman" w:hAnsi="Times New Roman"/>
        </w:rPr>
      </w:pPr>
      <w:r>
        <w:rPr>
          <w:rFonts w:ascii="Times New Roman" w:hAnsi="Times New Roman"/>
          <w:b/>
          <w:sz w:val="26"/>
          <w:szCs w:val="26"/>
          <w:u w:val="single"/>
          <w:lang w:val="en-GB"/>
        </w:rPr>
        <w:t>Major Issues pointed out by EOI/HCI</w:t>
      </w:r>
    </w:p>
    <w:tbl>
      <w:tblPr>
        <w:tblW w:w="9026" w:type="dxa"/>
        <w:jc w:val="left"/>
        <w:tblInd w:w="-118" w:type="dxa"/>
        <w:tblLayout w:type="fixed"/>
        <w:tblCellMar>
          <w:top w:w="0" w:type="dxa"/>
          <w:left w:w="108" w:type="dxa"/>
          <w:bottom w:w="0" w:type="dxa"/>
          <w:right w:w="108" w:type="dxa"/>
        </w:tblCellMar>
        <w:tblLook w:val="0000" w:noHBand="0" w:noVBand="0" w:firstColumn="0" w:lastRow="0" w:lastColumn="0" w:firstRow="0"/>
      </w:tblPr>
      <w:tblGrid>
        <w:gridCol w:w="4134"/>
        <w:gridCol w:w="4891"/>
      </w:tblGrid>
      <w:tr>
        <w:trPr/>
        <w:tc>
          <w:tcPr>
            <w:tcW w:w="4134"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jc w:val="both"/>
              <w:rPr>
                <w:rFonts w:ascii="Times New Roman" w:hAnsi="Times New Roman"/>
              </w:rPr>
            </w:pPr>
            <w:r>
              <w:rPr>
                <w:rFonts w:ascii="Times New Roman" w:hAnsi="Times New Roman"/>
                <w:b/>
                <w:sz w:val="26"/>
                <w:szCs w:val="26"/>
                <w:lang w:bidi="hi-IN"/>
              </w:rPr>
              <w:t xml:space="preserve">Issues </w:t>
            </w:r>
          </w:p>
        </w:tc>
        <w:tc>
          <w:tcPr>
            <w:tcW w:w="489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rPr>
            </w:pPr>
            <w:r>
              <w:rPr>
                <w:rFonts w:ascii="Times New Roman" w:hAnsi="Times New Roman"/>
                <w:b/>
                <w:sz w:val="26"/>
                <w:szCs w:val="26"/>
                <w:lang w:bidi="hi-IN"/>
              </w:rPr>
              <w:t>Status</w:t>
            </w:r>
          </w:p>
        </w:tc>
      </w:tr>
      <w:tr>
        <w:trPr/>
        <w:tc>
          <w:tcPr>
            <w:tcW w:w="4134" w:type="dxa"/>
            <w:tcBorders>
              <w:top w:val="single" w:sz="4" w:space="0" w:color="000000"/>
              <w:left w:val="single" w:sz="4" w:space="0" w:color="000000"/>
              <w:bottom w:val="single" w:sz="4" w:space="0" w:color="000000"/>
            </w:tcBorders>
            <w:shd w:color="auto" w:fill="auto" w:val="clear"/>
          </w:tcPr>
          <w:p>
            <w:pPr>
              <w:pStyle w:val="Normal"/>
              <w:widowControl w:val="false"/>
              <w:spacing w:lineRule="auto" w:line="240" w:before="0" w:after="0"/>
              <w:jc w:val="both"/>
              <w:rPr>
                <w:rFonts w:ascii="Times New Roman" w:hAnsi="Times New Roman"/>
              </w:rPr>
            </w:pPr>
            <w:r>
              <w:rPr>
                <w:rFonts w:ascii="Times New Roman" w:hAnsi="Times New Roman"/>
                <w:bCs/>
                <w:sz w:val="26"/>
                <w:szCs w:val="26"/>
                <w:lang w:bidi="hi-IN"/>
              </w:rPr>
              <w:t>Registration of Indian labs with NFSA (National Food Safety Authority.)</w:t>
            </w:r>
          </w:p>
        </w:tc>
        <w:tc>
          <w:tcPr>
            <w:tcW w:w="489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both"/>
              <w:rPr>
                <w:rFonts w:ascii="Times New Roman" w:hAnsi="Times New Roman"/>
              </w:rPr>
            </w:pPr>
            <w:r>
              <w:rPr>
                <w:rFonts w:ascii="Times New Roman" w:hAnsi="Times New Roman"/>
                <w:bCs/>
                <w:sz w:val="26"/>
                <w:szCs w:val="26"/>
                <w:lang w:bidi="hi-IN"/>
              </w:rPr>
              <w:t xml:space="preserve">Indian labs if registered with NFSA can overcome issues of residual pesticides content because of which there are issues of inspection of Indian consignments at ports. This has affected tea, spices, rice, etc.  </w:t>
            </w:r>
          </w:p>
        </w:tc>
      </w:tr>
    </w:tbl>
    <w:p>
      <w:pPr>
        <w:pStyle w:val="Normal"/>
        <w:jc w:val="both"/>
        <w:rPr>
          <w:rFonts w:ascii="Times New Roman" w:hAnsi="Times New Roman"/>
        </w:rPr>
      </w:pPr>
      <w:r>
        <w:rPr>
          <w:rFonts w:ascii="Times New Roman" w:hAnsi="Times New Roman"/>
        </w:rPr>
      </w:r>
    </w:p>
    <w:p>
      <w:pPr>
        <w:pStyle w:val="Normal"/>
        <w:widowControl/>
        <w:suppressAutoHyphens w:val="true"/>
        <w:bidi w:val="0"/>
        <w:spacing w:lineRule="auto" w:line="252" w:before="0" w:after="160"/>
        <w:jc w:val="left"/>
        <w:rPr/>
      </w:pPr>
      <w:r>
        <w:rPr/>
      </w:r>
    </w:p>
    <w:sectPr>
      <w:footerReference w:type="default" r:id="rId4"/>
      <w:type w:val="nextPage"/>
      <w:pgSz w:w="11906" w:h="16838"/>
      <w:pgMar w:left="1440" w:right="1440" w:gutter="0" w:header="0" w:top="1021" w:footer="709" w:bottom="1021"/>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Symbol">
    <w:charset w:val="01"/>
    <w:family w:val="roman"/>
    <w:pitch w:val="variable"/>
  </w:font>
  <w:font w:name="Courier New">
    <w:charset w:val="01"/>
    <w:family w:val="roman"/>
    <w:pitch w:val="variable"/>
  </w:font>
  <w:font w:name="Wingdings">
    <w:charset w:val="01"/>
    <w:family w:val="roman"/>
    <w:pitch w:val="variable"/>
  </w:font>
  <w:font w:name="Noto Sans Symbols">
    <w:charset w:val="01"/>
    <w:family w:val="roman"/>
    <w:pitch w:val="variable"/>
  </w:font>
  <w:font w:name="StarSymbol">
    <w:altName w:val="Arial Unicode MS"/>
    <w:charset w:val="01"/>
    <w:family w:val="roman"/>
    <w:pitch w:val="variable"/>
  </w:font>
  <w:font w:name="Times New Roman">
    <w:charset w:val="01"/>
    <w:family w:val="roman"/>
    <w:pitch w:val="variable"/>
  </w:font>
  <w:font w:name="Segoe UI">
    <w:charset w:val="01"/>
    <w:family w:val="roman"/>
    <w:pitch w:val="variable"/>
  </w:font>
  <w:font w:name="Cambri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imes New Roman">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14</w:t>
    </w:r>
    <w:r>
      <w:rPr/>
      <w:fldChar w:fldCharType="end"/>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0" w:hanging="0"/>
      </w:pPr>
      <w:rPr>
        <w:rFonts w:ascii="Symbol" w:hAnsi="Symbol" w:cs="Symbol" w:hint="default"/>
        <w:sz w:val="26"/>
        <w:szCs w:val="26"/>
        <w:color w:val="auto"/>
      </w:rPr>
    </w:lvl>
    <w:lvl w:ilvl="1">
      <w:start w:val="0"/>
      <w:numFmt w:val="bullet"/>
      <w:lvlText w:val="o"/>
      <w:lvlJc w:val="left"/>
      <w:pPr>
        <w:tabs>
          <w:tab w:val="num" w:pos="0"/>
        </w:tabs>
        <w:ind w:left="0" w:hanging="0"/>
      </w:pPr>
      <w:rPr>
        <w:rFonts w:ascii="Courier New" w:hAnsi="Courier New" w:cs="Courier New" w:hint="default"/>
      </w:rPr>
    </w:lvl>
    <w:lvl w:ilvl="2">
      <w:start w:val="0"/>
      <w:numFmt w:val="bullet"/>
      <w:lvlText w:val=""/>
      <w:lvlJc w:val="left"/>
      <w:pPr>
        <w:tabs>
          <w:tab w:val="num" w:pos="0"/>
        </w:tabs>
        <w:ind w:left="0" w:hanging="0"/>
      </w:pPr>
      <w:rPr>
        <w:rFonts w:ascii="Wingdings" w:hAnsi="Wingdings" w:cs="Wingdings" w:hint="default"/>
      </w:rPr>
    </w:lvl>
    <w:lvl w:ilvl="3">
      <w:start w:val="0"/>
      <w:numFmt w:val="bullet"/>
      <w:lvlText w:val=""/>
      <w:lvlJc w:val="left"/>
      <w:pPr>
        <w:tabs>
          <w:tab w:val="num" w:pos="0"/>
        </w:tabs>
        <w:ind w:left="0" w:hanging="0"/>
      </w:pPr>
      <w:rPr>
        <w:rFonts w:ascii="Symbol" w:hAnsi="Symbol" w:cs="Symbol" w:hint="default"/>
        <w:sz w:val="26"/>
        <w:szCs w:val="26"/>
        <w:color w:val="auto"/>
      </w:rPr>
    </w:lvl>
    <w:lvl w:ilvl="4">
      <w:start w:val="0"/>
      <w:numFmt w:val="bullet"/>
      <w:lvlText w:val="o"/>
      <w:lvlJc w:val="left"/>
      <w:pPr>
        <w:tabs>
          <w:tab w:val="num" w:pos="0"/>
        </w:tabs>
        <w:ind w:left="0" w:hanging="0"/>
      </w:pPr>
      <w:rPr>
        <w:rFonts w:ascii="Courier New" w:hAnsi="Courier New" w:cs="Courier New" w:hint="default"/>
      </w:rPr>
    </w:lvl>
    <w:lvl w:ilvl="5">
      <w:start w:val="0"/>
      <w:numFmt w:val="bullet"/>
      <w:lvlText w:val=""/>
      <w:lvlJc w:val="left"/>
      <w:pPr>
        <w:tabs>
          <w:tab w:val="num" w:pos="0"/>
        </w:tabs>
        <w:ind w:left="0" w:hanging="0"/>
      </w:pPr>
      <w:rPr>
        <w:rFonts w:ascii="Wingdings" w:hAnsi="Wingdings" w:cs="Wingdings" w:hint="default"/>
      </w:rPr>
    </w:lvl>
    <w:lvl w:ilvl="6">
      <w:start w:val="0"/>
      <w:numFmt w:val="bullet"/>
      <w:lvlText w:val=""/>
      <w:lvlJc w:val="left"/>
      <w:pPr>
        <w:tabs>
          <w:tab w:val="num" w:pos="0"/>
        </w:tabs>
        <w:ind w:left="0" w:hanging="0"/>
      </w:pPr>
      <w:rPr>
        <w:rFonts w:ascii="Symbol" w:hAnsi="Symbol" w:cs="Symbol" w:hint="default"/>
        <w:sz w:val="26"/>
        <w:szCs w:val="26"/>
        <w:color w:val="auto"/>
      </w:rPr>
    </w:lvl>
    <w:lvl w:ilvl="7">
      <w:start w:val="0"/>
      <w:numFmt w:val="bullet"/>
      <w:lvlText w:val="o"/>
      <w:lvlJc w:val="left"/>
      <w:pPr>
        <w:tabs>
          <w:tab w:val="num" w:pos="0"/>
        </w:tabs>
        <w:ind w:left="0" w:hanging="0"/>
      </w:pPr>
      <w:rPr>
        <w:rFonts w:ascii="Courier New" w:hAnsi="Courier New" w:cs="Courier New" w:hint="default"/>
      </w:rPr>
    </w:lvl>
    <w:lvl w:ilvl="8">
      <w:start w:val="0"/>
      <w:numFmt w:val="bullet"/>
      <w:lvlText w:val=""/>
      <w:lvlJc w:val="left"/>
      <w:pPr>
        <w:tabs>
          <w:tab w:val="num" w:pos="0"/>
        </w:tabs>
        <w:ind w:left="0" w:hanging="0"/>
      </w:pPr>
      <w:rPr>
        <w:rFonts w:ascii="Wingdings" w:hAnsi="Wingdings" w:cs="Wingdings" w:hint="default"/>
      </w:rPr>
    </w:lvl>
  </w:abstractNum>
  <w:abstractNum w:abstractNumId="2">
    <w:lvl w:ilvl="0">
      <w:start w:val="1"/>
      <w:numFmt w:val="upperLetter"/>
      <w:lvlText w:val="%1."/>
      <w:lvlJc w:val="left"/>
      <w:pPr>
        <w:tabs>
          <w:tab w:val="num" w:pos="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upperLetter"/>
      <w:lvlText w:val="%1."/>
      <w:lvlJc w:val="left"/>
      <w:pPr>
        <w:tabs>
          <w:tab w:val="num" w:pos="0"/>
        </w:tabs>
        <w:ind w:left="540" w:hanging="360"/>
      </w:pPr>
      <w:rPr>
        <w:b/>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lowerLetter"/>
      <w:lvlText w:val="%1."/>
      <w:lvlJc w:val="left"/>
      <w:pPr>
        <w:tabs>
          <w:tab w:val="num" w:pos="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decimal"/>
      <w:lvlText w:val="%1."/>
      <w:lvlJc w:val="left"/>
      <w:pPr>
        <w:tabs>
          <w:tab w:val="num" w:pos="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lowerLetter"/>
      <w:lvlText w:val="%1."/>
      <w:lvlJc w:val="left"/>
      <w:pPr>
        <w:tabs>
          <w:tab w:val="num" w:pos="0"/>
        </w:tabs>
        <w:ind w:left="720" w:hanging="360"/>
      </w:pPr>
      <w:rPr>
        <w:sz w:val="26"/>
        <w:i w:val="false"/>
        <w:b/>
        <w:szCs w:val="26"/>
        <w:iCs/>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bullet"/>
      <w:lvlText w:val=""/>
      <w:lvlJc w:val="left"/>
      <w:pPr>
        <w:tabs>
          <w:tab w:val="num" w:pos="0"/>
        </w:tabs>
        <w:ind w:left="108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
    <w:lvl w:ilvl="0">
      <w:start w:val="1"/>
      <w:numFmt w:val="decimal"/>
      <w:lvlText w:val="%1."/>
      <w:lvlJc w:val="left"/>
      <w:pPr>
        <w:tabs>
          <w:tab w:val="num" w:pos="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
    <w:lvl w:ilvl="0">
      <w:start w:val="1"/>
      <w:numFmt w:val="decimal"/>
      <w:lvlText w:val="%1."/>
      <w:lvlJc w:val="left"/>
      <w:pPr>
        <w:tabs>
          <w:tab w:val="num" w:pos="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0">
    <w:lvl w:ilvl="0">
      <w:start w:val="1"/>
      <w:numFmt w:val="decimal"/>
      <w:lvlText w:val="%1."/>
      <w:lvlJc w:val="left"/>
      <w:pPr>
        <w:tabs>
          <w:tab w:val="num" w:pos="0"/>
        </w:tabs>
        <w:ind w:left="720" w:hanging="360"/>
      </w:pPr>
      <w:rPr>
        <w:b/>
        <w:bC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1">
    <w:lvl w:ilvl="0">
      <w:start w:val="1"/>
      <w:numFmt w:val="lowerLetter"/>
      <w:lvlText w:val="%1."/>
      <w:lvlJc w:val="left"/>
      <w:pPr>
        <w:tabs>
          <w:tab w:val="num" w:pos="928"/>
        </w:tabs>
        <w:ind w:left="928" w:hanging="360"/>
      </w:pPr>
      <w:rPr>
        <w:sz w:val="22"/>
        <w:b/>
        <w:szCs w:val="22"/>
        <w:bCs/>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2">
    <w:lvl w:ilvl="0">
      <w:start w:val="1"/>
      <w:numFmt w:val="lowerLetter"/>
      <w:lvlText w:val="%1."/>
      <w:lvlJc w:val="left"/>
      <w:pPr>
        <w:tabs>
          <w:tab w:val="num" w:pos="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3">
    <w:lvl w:ilvl="0">
      <w:start w:val="1"/>
      <w:numFmt w:val="bullet"/>
      <w:lvlText w:val=""/>
      <w:lvlJc w:val="left"/>
      <w:pPr>
        <w:tabs>
          <w:tab w:val="num" w:pos="0"/>
        </w:tabs>
        <w:ind w:left="1440" w:hanging="360"/>
      </w:pPr>
      <w:rPr>
        <w:rFonts w:ascii="Wingdings" w:hAnsi="Wingdings" w:cs="Wingdings" w:hint="default"/>
        <w:sz w:val="26"/>
        <w:szCs w:val="26"/>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4">
    <w:lvl w:ilvl="0">
      <w:start w:val="1"/>
      <w:numFmt w:val="lowerLetter"/>
      <w:lvlText w:val="%1."/>
      <w:lvlJc w:val="left"/>
      <w:pPr>
        <w:tabs>
          <w:tab w:val="num" w:pos="0"/>
        </w:tabs>
        <w:ind w:left="540" w:hanging="360"/>
      </w:pPr>
      <w:rPr>
        <w:b/>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5">
    <w:lvl w:ilvl="0">
      <w:start w:val="1"/>
      <w:numFmt w:val="decimal"/>
      <w:lvlText w:val="%1."/>
      <w:lvlJc w:val="left"/>
      <w:pPr>
        <w:tabs>
          <w:tab w:val="num" w:pos="0"/>
        </w:tabs>
        <w:ind w:left="360" w:hanging="360"/>
      </w:pPr>
      <w:rPr>
        <w:b/>
        <w:bCs/>
        <w:lang w:val="en-I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6">
    <w:lvl w:ilvl="0">
      <w:start w:val="35"/>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kern w:val="2"/>
        <w:sz w:val="22"/>
        <w:szCs w:val="22"/>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e4a97"/>
    <w:pPr>
      <w:widowControl/>
      <w:suppressAutoHyphens w:val="true"/>
      <w:bidi w:val="0"/>
      <w:spacing w:lineRule="auto" w:line="252" w:before="0" w:after="160"/>
      <w:jc w:val="left"/>
    </w:pPr>
    <w:rPr>
      <w:rFonts w:ascii="Calibri" w:hAnsi="Calibri" w:eastAsia="Calibri" w:cs="Times New Roman"/>
      <w:color w:val="auto"/>
      <w:kern w:val="0"/>
      <w:sz w:val="22"/>
      <w:szCs w:val="22"/>
      <w:lang w:val="en-US" w:eastAsia="zh-CN" w:bidi="ar-SA"/>
      <w14:ligatures w14:val="none"/>
    </w:rPr>
  </w:style>
  <w:style w:type="character" w:styleId="DefaultParagraphFont" w:default="1">
    <w:name w:val="Default Paragraph Font"/>
    <w:uiPriority w:val="1"/>
    <w:semiHidden/>
    <w:unhideWhenUsed/>
    <w:qFormat/>
    <w:rPr/>
  </w:style>
  <w:style w:type="character" w:styleId="WW8Num1z0" w:customStyle="1">
    <w:name w:val="WW8Num1z0"/>
    <w:qFormat/>
    <w:rsid w:val="006e5084"/>
    <w:rPr>
      <w:rFonts w:ascii="Symbol" w:hAnsi="Symbol" w:cs="Symbol"/>
      <w:sz w:val="26"/>
      <w:szCs w:val="26"/>
    </w:rPr>
  </w:style>
  <w:style w:type="character" w:styleId="WW8Num1z1" w:customStyle="1">
    <w:name w:val="WW8Num1z1"/>
    <w:qFormat/>
    <w:rsid w:val="006e5084"/>
    <w:rPr>
      <w:rFonts w:ascii="Courier New" w:hAnsi="Courier New" w:cs="Courier New"/>
    </w:rPr>
  </w:style>
  <w:style w:type="character" w:styleId="WW8Num1z2" w:customStyle="1">
    <w:name w:val="WW8Num1z2"/>
    <w:qFormat/>
    <w:rsid w:val="006e5084"/>
    <w:rPr>
      <w:rFonts w:ascii="Wingdings" w:hAnsi="Wingdings" w:cs="Wingdings"/>
    </w:rPr>
  </w:style>
  <w:style w:type="character" w:styleId="WW8Num2z0" w:customStyle="1">
    <w:name w:val="WW8Num2z0"/>
    <w:qFormat/>
    <w:rsid w:val="006e5084"/>
    <w:rPr>
      <w:rFonts w:ascii="Symbol" w:hAnsi="Symbol" w:cs="Symbol"/>
      <w:color w:val="auto"/>
      <w:sz w:val="26"/>
      <w:szCs w:val="26"/>
    </w:rPr>
  </w:style>
  <w:style w:type="character" w:styleId="WW8Num2z1" w:customStyle="1">
    <w:name w:val="WW8Num2z1"/>
    <w:qFormat/>
    <w:rsid w:val="006e5084"/>
    <w:rPr>
      <w:rFonts w:ascii="Courier New" w:hAnsi="Courier New" w:cs="Courier New"/>
    </w:rPr>
  </w:style>
  <w:style w:type="character" w:styleId="WW8Num2z2" w:customStyle="1">
    <w:name w:val="WW8Num2z2"/>
    <w:qFormat/>
    <w:rsid w:val="006e5084"/>
    <w:rPr>
      <w:rFonts w:ascii="Wingdings" w:hAnsi="Wingdings" w:cs="Wingdings"/>
    </w:rPr>
  </w:style>
  <w:style w:type="character" w:styleId="WW8Num3z0" w:customStyle="1">
    <w:name w:val="WW8Num3z0"/>
    <w:qFormat/>
    <w:rsid w:val="006e5084"/>
    <w:rPr/>
  </w:style>
  <w:style w:type="character" w:styleId="WW8Num3z1" w:customStyle="1">
    <w:name w:val="WW8Num3z1"/>
    <w:qFormat/>
    <w:rsid w:val="006e5084"/>
    <w:rPr/>
  </w:style>
  <w:style w:type="character" w:styleId="WW8Num3z2" w:customStyle="1">
    <w:name w:val="WW8Num3z2"/>
    <w:qFormat/>
    <w:rsid w:val="006e5084"/>
    <w:rPr/>
  </w:style>
  <w:style w:type="character" w:styleId="WW8Num3z3" w:customStyle="1">
    <w:name w:val="WW8Num3z3"/>
    <w:qFormat/>
    <w:rsid w:val="006e5084"/>
    <w:rPr/>
  </w:style>
  <w:style w:type="character" w:styleId="WW8Num3z4" w:customStyle="1">
    <w:name w:val="WW8Num3z4"/>
    <w:qFormat/>
    <w:rsid w:val="006e5084"/>
    <w:rPr/>
  </w:style>
  <w:style w:type="character" w:styleId="WW8Num3z5" w:customStyle="1">
    <w:name w:val="WW8Num3z5"/>
    <w:qFormat/>
    <w:rsid w:val="006e5084"/>
    <w:rPr/>
  </w:style>
  <w:style w:type="character" w:styleId="WW8Num3z6" w:customStyle="1">
    <w:name w:val="WW8Num3z6"/>
    <w:qFormat/>
    <w:rsid w:val="006e5084"/>
    <w:rPr/>
  </w:style>
  <w:style w:type="character" w:styleId="WW8Num3z7" w:customStyle="1">
    <w:name w:val="WW8Num3z7"/>
    <w:qFormat/>
    <w:rsid w:val="006e5084"/>
    <w:rPr/>
  </w:style>
  <w:style w:type="character" w:styleId="WW8Num3z8" w:customStyle="1">
    <w:name w:val="WW8Num3z8"/>
    <w:qFormat/>
    <w:rsid w:val="006e5084"/>
    <w:rPr/>
  </w:style>
  <w:style w:type="character" w:styleId="WW8Num4z0" w:customStyle="1">
    <w:name w:val="WW8Num4z0"/>
    <w:qFormat/>
    <w:rsid w:val="006e5084"/>
    <w:rPr>
      <w:b/>
    </w:rPr>
  </w:style>
  <w:style w:type="character" w:styleId="WW8Num4z1" w:customStyle="1">
    <w:name w:val="WW8Num4z1"/>
    <w:qFormat/>
    <w:rsid w:val="006e5084"/>
    <w:rPr/>
  </w:style>
  <w:style w:type="character" w:styleId="WW8Num4z2" w:customStyle="1">
    <w:name w:val="WW8Num4z2"/>
    <w:qFormat/>
    <w:rsid w:val="006e5084"/>
    <w:rPr/>
  </w:style>
  <w:style w:type="character" w:styleId="WW8Num4z3" w:customStyle="1">
    <w:name w:val="WW8Num4z3"/>
    <w:qFormat/>
    <w:rsid w:val="006e5084"/>
    <w:rPr/>
  </w:style>
  <w:style w:type="character" w:styleId="WW8Num4z4" w:customStyle="1">
    <w:name w:val="WW8Num4z4"/>
    <w:qFormat/>
    <w:rsid w:val="006e5084"/>
    <w:rPr/>
  </w:style>
  <w:style w:type="character" w:styleId="WW8Num4z5" w:customStyle="1">
    <w:name w:val="WW8Num4z5"/>
    <w:qFormat/>
    <w:rsid w:val="006e5084"/>
    <w:rPr/>
  </w:style>
  <w:style w:type="character" w:styleId="WW8Num4z6" w:customStyle="1">
    <w:name w:val="WW8Num4z6"/>
    <w:qFormat/>
    <w:rsid w:val="006e5084"/>
    <w:rPr/>
  </w:style>
  <w:style w:type="character" w:styleId="WW8Num4z7" w:customStyle="1">
    <w:name w:val="WW8Num4z7"/>
    <w:qFormat/>
    <w:rsid w:val="006e5084"/>
    <w:rPr/>
  </w:style>
  <w:style w:type="character" w:styleId="WW8Num4z8" w:customStyle="1">
    <w:name w:val="WW8Num4z8"/>
    <w:qFormat/>
    <w:rsid w:val="006e5084"/>
    <w:rPr/>
  </w:style>
  <w:style w:type="character" w:styleId="WW8Num5z0" w:customStyle="1">
    <w:name w:val="WW8Num5z0"/>
    <w:qFormat/>
    <w:rsid w:val="006e5084"/>
    <w:rPr/>
  </w:style>
  <w:style w:type="character" w:styleId="WW8Num5z1" w:customStyle="1">
    <w:name w:val="WW8Num5z1"/>
    <w:qFormat/>
    <w:rsid w:val="006e5084"/>
    <w:rPr/>
  </w:style>
  <w:style w:type="character" w:styleId="WW8Num5z2" w:customStyle="1">
    <w:name w:val="WW8Num5z2"/>
    <w:qFormat/>
    <w:rsid w:val="006e5084"/>
    <w:rPr/>
  </w:style>
  <w:style w:type="character" w:styleId="WW8Num5z3" w:customStyle="1">
    <w:name w:val="WW8Num5z3"/>
    <w:qFormat/>
    <w:rsid w:val="006e5084"/>
    <w:rPr/>
  </w:style>
  <w:style w:type="character" w:styleId="WW8Num5z4" w:customStyle="1">
    <w:name w:val="WW8Num5z4"/>
    <w:qFormat/>
    <w:rsid w:val="006e5084"/>
    <w:rPr/>
  </w:style>
  <w:style w:type="character" w:styleId="WW8Num5z5" w:customStyle="1">
    <w:name w:val="WW8Num5z5"/>
    <w:qFormat/>
    <w:rsid w:val="006e5084"/>
    <w:rPr/>
  </w:style>
  <w:style w:type="character" w:styleId="WW8Num5z6" w:customStyle="1">
    <w:name w:val="WW8Num5z6"/>
    <w:qFormat/>
    <w:rsid w:val="006e5084"/>
    <w:rPr/>
  </w:style>
  <w:style w:type="character" w:styleId="WW8Num5z7" w:customStyle="1">
    <w:name w:val="WW8Num5z7"/>
    <w:qFormat/>
    <w:rsid w:val="006e5084"/>
    <w:rPr/>
  </w:style>
  <w:style w:type="character" w:styleId="WW8Num5z8" w:customStyle="1">
    <w:name w:val="WW8Num5z8"/>
    <w:qFormat/>
    <w:rsid w:val="006e5084"/>
    <w:rPr/>
  </w:style>
  <w:style w:type="character" w:styleId="WW8Num6z0" w:customStyle="1">
    <w:name w:val="WW8Num6z0"/>
    <w:qFormat/>
    <w:rsid w:val="006e5084"/>
    <w:rPr>
      <w:b/>
      <w:sz w:val="22"/>
      <w:szCs w:val="22"/>
    </w:rPr>
  </w:style>
  <w:style w:type="character" w:styleId="WW8Num6z1" w:customStyle="1">
    <w:name w:val="WW8Num6z1"/>
    <w:qFormat/>
    <w:rsid w:val="006e5084"/>
    <w:rPr>
      <w:rFonts w:ascii="Noto Sans Symbols" w:hAnsi="Noto Sans Symbols" w:eastAsia="Noto Sans Symbols" w:cs="Noto Sans Symbols"/>
    </w:rPr>
  </w:style>
  <w:style w:type="character" w:styleId="WW8Num6z4" w:customStyle="1">
    <w:name w:val="WW8Num6z4"/>
    <w:qFormat/>
    <w:rsid w:val="006e5084"/>
    <w:rPr>
      <w:rFonts w:ascii="Courier New" w:hAnsi="Courier New" w:eastAsia="Courier New" w:cs="Courier New"/>
    </w:rPr>
  </w:style>
  <w:style w:type="character" w:styleId="WW8Num7z0" w:customStyle="1">
    <w:name w:val="WW8Num7z0"/>
    <w:qFormat/>
    <w:rsid w:val="006e5084"/>
    <w:rPr>
      <w:rFonts w:ascii="StarSymbol" w:hAnsi="StarSymbol" w:cs="StarSymbol"/>
    </w:rPr>
  </w:style>
  <w:style w:type="character" w:styleId="WW8Num7z1" w:customStyle="1">
    <w:name w:val="WW8Num7z1"/>
    <w:qFormat/>
    <w:rsid w:val="006e5084"/>
    <w:rPr/>
  </w:style>
  <w:style w:type="character" w:styleId="WW8Num7z2" w:customStyle="1">
    <w:name w:val="WW8Num7z2"/>
    <w:qFormat/>
    <w:rsid w:val="006e5084"/>
    <w:rPr/>
  </w:style>
  <w:style w:type="character" w:styleId="WW8Num7z3" w:customStyle="1">
    <w:name w:val="WW8Num7z3"/>
    <w:qFormat/>
    <w:rsid w:val="006e5084"/>
    <w:rPr/>
  </w:style>
  <w:style w:type="character" w:styleId="WW8Num7z4" w:customStyle="1">
    <w:name w:val="WW8Num7z4"/>
    <w:qFormat/>
    <w:rsid w:val="006e5084"/>
    <w:rPr/>
  </w:style>
  <w:style w:type="character" w:styleId="WW8Num7z5" w:customStyle="1">
    <w:name w:val="WW8Num7z5"/>
    <w:qFormat/>
    <w:rsid w:val="006e5084"/>
    <w:rPr/>
  </w:style>
  <w:style w:type="character" w:styleId="WW8Num7z6" w:customStyle="1">
    <w:name w:val="WW8Num7z6"/>
    <w:qFormat/>
    <w:rsid w:val="006e5084"/>
    <w:rPr/>
  </w:style>
  <w:style w:type="character" w:styleId="WW8Num7z7" w:customStyle="1">
    <w:name w:val="WW8Num7z7"/>
    <w:qFormat/>
    <w:rsid w:val="006e5084"/>
    <w:rPr/>
  </w:style>
  <w:style w:type="character" w:styleId="WW8Num7z8" w:customStyle="1">
    <w:name w:val="WW8Num7z8"/>
    <w:qFormat/>
    <w:rsid w:val="006e5084"/>
    <w:rPr/>
  </w:style>
  <w:style w:type="character" w:styleId="WW8Num8z0" w:customStyle="1">
    <w:name w:val="WW8Num8z0"/>
    <w:qFormat/>
    <w:rsid w:val="006e5084"/>
    <w:rPr>
      <w:rFonts w:ascii="Wingdings" w:hAnsi="Wingdings" w:cs="Wingdings"/>
    </w:rPr>
  </w:style>
  <w:style w:type="character" w:styleId="WW8Num8z1" w:customStyle="1">
    <w:name w:val="WW8Num8z1"/>
    <w:qFormat/>
    <w:rsid w:val="006e5084"/>
    <w:rPr>
      <w:rFonts w:ascii="Courier New" w:hAnsi="Courier New" w:cs="Courier New"/>
    </w:rPr>
  </w:style>
  <w:style w:type="character" w:styleId="WW8Num8z3" w:customStyle="1">
    <w:name w:val="WW8Num8z3"/>
    <w:qFormat/>
    <w:rsid w:val="006e5084"/>
    <w:rPr>
      <w:rFonts w:ascii="Symbol" w:hAnsi="Symbol" w:cs="Symbol"/>
    </w:rPr>
  </w:style>
  <w:style w:type="character" w:styleId="WW8Num9z0" w:customStyle="1">
    <w:name w:val="WW8Num9z0"/>
    <w:qFormat/>
    <w:rsid w:val="006e5084"/>
    <w:rPr/>
  </w:style>
  <w:style w:type="character" w:styleId="WW8Num9z1" w:customStyle="1">
    <w:name w:val="WW8Num9z1"/>
    <w:qFormat/>
    <w:rsid w:val="006e5084"/>
    <w:rPr/>
  </w:style>
  <w:style w:type="character" w:styleId="WW8Num9z2" w:customStyle="1">
    <w:name w:val="WW8Num9z2"/>
    <w:qFormat/>
    <w:rsid w:val="006e5084"/>
    <w:rPr/>
  </w:style>
  <w:style w:type="character" w:styleId="WW8Num9z3" w:customStyle="1">
    <w:name w:val="WW8Num9z3"/>
    <w:qFormat/>
    <w:rsid w:val="006e5084"/>
    <w:rPr/>
  </w:style>
  <w:style w:type="character" w:styleId="WW8Num9z4" w:customStyle="1">
    <w:name w:val="WW8Num9z4"/>
    <w:qFormat/>
    <w:rsid w:val="006e5084"/>
    <w:rPr/>
  </w:style>
  <w:style w:type="character" w:styleId="WW8Num9z5" w:customStyle="1">
    <w:name w:val="WW8Num9z5"/>
    <w:qFormat/>
    <w:rsid w:val="006e5084"/>
    <w:rPr/>
  </w:style>
  <w:style w:type="character" w:styleId="WW8Num9z6" w:customStyle="1">
    <w:name w:val="WW8Num9z6"/>
    <w:qFormat/>
    <w:rsid w:val="006e5084"/>
    <w:rPr/>
  </w:style>
  <w:style w:type="character" w:styleId="WW8Num9z7" w:customStyle="1">
    <w:name w:val="WW8Num9z7"/>
    <w:qFormat/>
    <w:rsid w:val="006e5084"/>
    <w:rPr/>
  </w:style>
  <w:style w:type="character" w:styleId="WW8Num9z8" w:customStyle="1">
    <w:name w:val="WW8Num9z8"/>
    <w:qFormat/>
    <w:rsid w:val="006e5084"/>
    <w:rPr/>
  </w:style>
  <w:style w:type="character" w:styleId="WW8Num10z0" w:customStyle="1">
    <w:name w:val="WW8Num10z0"/>
    <w:qFormat/>
    <w:rsid w:val="006e5084"/>
    <w:rPr/>
  </w:style>
  <w:style w:type="character" w:styleId="WW8Num10z1" w:customStyle="1">
    <w:name w:val="WW8Num10z1"/>
    <w:qFormat/>
    <w:rsid w:val="006e5084"/>
    <w:rPr/>
  </w:style>
  <w:style w:type="character" w:styleId="WW8Num10z2" w:customStyle="1">
    <w:name w:val="WW8Num10z2"/>
    <w:qFormat/>
    <w:rsid w:val="006e5084"/>
    <w:rPr/>
  </w:style>
  <w:style w:type="character" w:styleId="WW8Num10z3" w:customStyle="1">
    <w:name w:val="WW8Num10z3"/>
    <w:qFormat/>
    <w:rsid w:val="006e5084"/>
    <w:rPr/>
  </w:style>
  <w:style w:type="character" w:styleId="WW8Num10z4" w:customStyle="1">
    <w:name w:val="WW8Num10z4"/>
    <w:qFormat/>
    <w:rsid w:val="006e5084"/>
    <w:rPr/>
  </w:style>
  <w:style w:type="character" w:styleId="WW8Num10z5" w:customStyle="1">
    <w:name w:val="WW8Num10z5"/>
    <w:qFormat/>
    <w:rsid w:val="006e5084"/>
    <w:rPr/>
  </w:style>
  <w:style w:type="character" w:styleId="WW8Num10z6" w:customStyle="1">
    <w:name w:val="WW8Num10z6"/>
    <w:qFormat/>
    <w:rsid w:val="006e5084"/>
    <w:rPr/>
  </w:style>
  <w:style w:type="character" w:styleId="WW8Num10z7" w:customStyle="1">
    <w:name w:val="WW8Num10z7"/>
    <w:qFormat/>
    <w:rsid w:val="006e5084"/>
    <w:rPr/>
  </w:style>
  <w:style w:type="character" w:styleId="WW8Num10z8" w:customStyle="1">
    <w:name w:val="WW8Num10z8"/>
    <w:qFormat/>
    <w:rsid w:val="006e5084"/>
    <w:rPr/>
  </w:style>
  <w:style w:type="character" w:styleId="WW8Num11z0" w:customStyle="1">
    <w:name w:val="WW8Num11z0"/>
    <w:qFormat/>
    <w:rsid w:val="006e5084"/>
    <w:rPr/>
  </w:style>
  <w:style w:type="character" w:styleId="WW8Num11z1" w:customStyle="1">
    <w:name w:val="WW8Num11z1"/>
    <w:qFormat/>
    <w:rsid w:val="006e5084"/>
    <w:rPr/>
  </w:style>
  <w:style w:type="character" w:styleId="WW8Num11z2" w:customStyle="1">
    <w:name w:val="WW8Num11z2"/>
    <w:qFormat/>
    <w:rsid w:val="006e5084"/>
    <w:rPr/>
  </w:style>
  <w:style w:type="character" w:styleId="WW8Num11z3" w:customStyle="1">
    <w:name w:val="WW8Num11z3"/>
    <w:qFormat/>
    <w:rsid w:val="006e5084"/>
    <w:rPr/>
  </w:style>
  <w:style w:type="character" w:styleId="WW8Num11z4" w:customStyle="1">
    <w:name w:val="WW8Num11z4"/>
    <w:qFormat/>
    <w:rsid w:val="006e5084"/>
    <w:rPr/>
  </w:style>
  <w:style w:type="character" w:styleId="WW8Num11z5" w:customStyle="1">
    <w:name w:val="WW8Num11z5"/>
    <w:qFormat/>
    <w:rsid w:val="006e5084"/>
    <w:rPr/>
  </w:style>
  <w:style w:type="character" w:styleId="WW8Num11z6" w:customStyle="1">
    <w:name w:val="WW8Num11z6"/>
    <w:qFormat/>
    <w:rsid w:val="006e5084"/>
    <w:rPr/>
  </w:style>
  <w:style w:type="character" w:styleId="WW8Num11z7" w:customStyle="1">
    <w:name w:val="WW8Num11z7"/>
    <w:qFormat/>
    <w:rsid w:val="006e5084"/>
    <w:rPr/>
  </w:style>
  <w:style w:type="character" w:styleId="WW8Num11z8" w:customStyle="1">
    <w:name w:val="WW8Num11z8"/>
    <w:qFormat/>
    <w:rsid w:val="006e5084"/>
    <w:rPr/>
  </w:style>
  <w:style w:type="character" w:styleId="WW8Num12z0" w:customStyle="1">
    <w:name w:val="WW8Num12z0"/>
    <w:qFormat/>
    <w:rsid w:val="006e5084"/>
    <w:rPr>
      <w:rFonts w:cs="Cambria"/>
      <w:sz w:val="26"/>
      <w:u w:val="single"/>
    </w:rPr>
  </w:style>
  <w:style w:type="character" w:styleId="WW8Num12z1" w:customStyle="1">
    <w:name w:val="WW8Num12z1"/>
    <w:qFormat/>
    <w:rsid w:val="006e5084"/>
    <w:rPr/>
  </w:style>
  <w:style w:type="character" w:styleId="WW8Num12z2" w:customStyle="1">
    <w:name w:val="WW8Num12z2"/>
    <w:qFormat/>
    <w:rsid w:val="006e5084"/>
    <w:rPr/>
  </w:style>
  <w:style w:type="character" w:styleId="WW8Num12z3" w:customStyle="1">
    <w:name w:val="WW8Num12z3"/>
    <w:qFormat/>
    <w:rsid w:val="006e5084"/>
    <w:rPr/>
  </w:style>
  <w:style w:type="character" w:styleId="WW8Num12z4" w:customStyle="1">
    <w:name w:val="WW8Num12z4"/>
    <w:qFormat/>
    <w:rsid w:val="006e5084"/>
    <w:rPr/>
  </w:style>
  <w:style w:type="character" w:styleId="WW8Num12z5" w:customStyle="1">
    <w:name w:val="WW8Num12z5"/>
    <w:qFormat/>
    <w:rsid w:val="006e5084"/>
    <w:rPr/>
  </w:style>
  <w:style w:type="character" w:styleId="WW8Num12z6" w:customStyle="1">
    <w:name w:val="WW8Num12z6"/>
    <w:qFormat/>
    <w:rsid w:val="006e5084"/>
    <w:rPr/>
  </w:style>
  <w:style w:type="character" w:styleId="WW8Num12z7" w:customStyle="1">
    <w:name w:val="WW8Num12z7"/>
    <w:qFormat/>
    <w:rsid w:val="006e5084"/>
    <w:rPr/>
  </w:style>
  <w:style w:type="character" w:styleId="WW8Num12z8" w:customStyle="1">
    <w:name w:val="WW8Num12z8"/>
    <w:qFormat/>
    <w:rsid w:val="006e5084"/>
    <w:rPr/>
  </w:style>
  <w:style w:type="character" w:styleId="WW8Num13z0" w:customStyle="1">
    <w:name w:val="WW8Num13z0"/>
    <w:qFormat/>
    <w:rsid w:val="006e5084"/>
    <w:rPr>
      <w:rFonts w:ascii="Times New Roman" w:hAnsi="Times New Roman" w:cs="Times New Roman"/>
      <w:b/>
      <w:i w:val="false"/>
      <w:iCs/>
      <w:sz w:val="26"/>
      <w:szCs w:val="26"/>
    </w:rPr>
  </w:style>
  <w:style w:type="character" w:styleId="WW8Num13z1" w:customStyle="1">
    <w:name w:val="WW8Num13z1"/>
    <w:qFormat/>
    <w:rsid w:val="006e5084"/>
    <w:rPr/>
  </w:style>
  <w:style w:type="character" w:styleId="WW8Num13z2" w:customStyle="1">
    <w:name w:val="WW8Num13z2"/>
    <w:qFormat/>
    <w:rsid w:val="006e5084"/>
    <w:rPr/>
  </w:style>
  <w:style w:type="character" w:styleId="WW8Num13z3" w:customStyle="1">
    <w:name w:val="WW8Num13z3"/>
    <w:qFormat/>
    <w:rsid w:val="006e5084"/>
    <w:rPr/>
  </w:style>
  <w:style w:type="character" w:styleId="WW8Num13z4" w:customStyle="1">
    <w:name w:val="WW8Num13z4"/>
    <w:qFormat/>
    <w:rsid w:val="006e5084"/>
    <w:rPr/>
  </w:style>
  <w:style w:type="character" w:styleId="WW8Num13z5" w:customStyle="1">
    <w:name w:val="WW8Num13z5"/>
    <w:qFormat/>
    <w:rsid w:val="006e5084"/>
    <w:rPr/>
  </w:style>
  <w:style w:type="character" w:styleId="WW8Num13z6" w:customStyle="1">
    <w:name w:val="WW8Num13z6"/>
    <w:qFormat/>
    <w:rsid w:val="006e5084"/>
    <w:rPr/>
  </w:style>
  <w:style w:type="character" w:styleId="WW8Num13z7" w:customStyle="1">
    <w:name w:val="WW8Num13z7"/>
    <w:qFormat/>
    <w:rsid w:val="006e5084"/>
    <w:rPr/>
  </w:style>
  <w:style w:type="character" w:styleId="WW8Num13z8" w:customStyle="1">
    <w:name w:val="WW8Num13z8"/>
    <w:qFormat/>
    <w:rsid w:val="006e5084"/>
    <w:rPr/>
  </w:style>
  <w:style w:type="character" w:styleId="WW8Num14z0" w:customStyle="1">
    <w:name w:val="WW8Num14z0"/>
    <w:qFormat/>
    <w:rsid w:val="006e5084"/>
    <w:rPr>
      <w:rFonts w:ascii="Symbol" w:hAnsi="Symbol" w:cs="Symbol"/>
    </w:rPr>
  </w:style>
  <w:style w:type="character" w:styleId="WW8Num14z1" w:customStyle="1">
    <w:name w:val="WW8Num14z1"/>
    <w:qFormat/>
    <w:rsid w:val="006e5084"/>
    <w:rPr>
      <w:rFonts w:ascii="Courier New" w:hAnsi="Courier New" w:cs="Courier New"/>
    </w:rPr>
  </w:style>
  <w:style w:type="character" w:styleId="WW8Num14z2" w:customStyle="1">
    <w:name w:val="WW8Num14z2"/>
    <w:qFormat/>
    <w:rsid w:val="006e5084"/>
    <w:rPr>
      <w:rFonts w:ascii="Wingdings" w:hAnsi="Wingdings" w:cs="Wingdings"/>
    </w:rPr>
  </w:style>
  <w:style w:type="character" w:styleId="WW8Num15z0" w:customStyle="1">
    <w:name w:val="WW8Num15z0"/>
    <w:qFormat/>
    <w:rsid w:val="006e5084"/>
    <w:rPr>
      <w:rFonts w:ascii="Symbol" w:hAnsi="Symbol" w:cs="Symbol"/>
    </w:rPr>
  </w:style>
  <w:style w:type="character" w:styleId="WW8Num15z1" w:customStyle="1">
    <w:name w:val="WW8Num15z1"/>
    <w:qFormat/>
    <w:rsid w:val="006e5084"/>
    <w:rPr>
      <w:rFonts w:ascii="Courier New" w:hAnsi="Courier New" w:cs="Courier New"/>
    </w:rPr>
  </w:style>
  <w:style w:type="character" w:styleId="WW8Num15z2" w:customStyle="1">
    <w:name w:val="WW8Num15z2"/>
    <w:qFormat/>
    <w:rsid w:val="006e5084"/>
    <w:rPr>
      <w:rFonts w:ascii="Wingdings" w:hAnsi="Wingdings" w:cs="Wingdings"/>
    </w:rPr>
  </w:style>
  <w:style w:type="character" w:styleId="WW8Num16z0" w:customStyle="1">
    <w:name w:val="WW8Num16z0"/>
    <w:qFormat/>
    <w:rsid w:val="006e5084"/>
    <w:rPr/>
  </w:style>
  <w:style w:type="character" w:styleId="WW8Num16z1" w:customStyle="1">
    <w:name w:val="WW8Num16z1"/>
    <w:qFormat/>
    <w:rsid w:val="006e5084"/>
    <w:rPr/>
  </w:style>
  <w:style w:type="character" w:styleId="WW8Num16z2" w:customStyle="1">
    <w:name w:val="WW8Num16z2"/>
    <w:qFormat/>
    <w:rsid w:val="006e5084"/>
    <w:rPr/>
  </w:style>
  <w:style w:type="character" w:styleId="WW8Num16z3" w:customStyle="1">
    <w:name w:val="WW8Num16z3"/>
    <w:qFormat/>
    <w:rsid w:val="006e5084"/>
    <w:rPr/>
  </w:style>
  <w:style w:type="character" w:styleId="WW8Num16z4" w:customStyle="1">
    <w:name w:val="WW8Num16z4"/>
    <w:qFormat/>
    <w:rsid w:val="006e5084"/>
    <w:rPr/>
  </w:style>
  <w:style w:type="character" w:styleId="WW8Num16z5" w:customStyle="1">
    <w:name w:val="WW8Num16z5"/>
    <w:qFormat/>
    <w:rsid w:val="006e5084"/>
    <w:rPr/>
  </w:style>
  <w:style w:type="character" w:styleId="WW8Num16z6" w:customStyle="1">
    <w:name w:val="WW8Num16z6"/>
    <w:qFormat/>
    <w:rsid w:val="006e5084"/>
    <w:rPr/>
  </w:style>
  <w:style w:type="character" w:styleId="WW8Num16z7" w:customStyle="1">
    <w:name w:val="WW8Num16z7"/>
    <w:qFormat/>
    <w:rsid w:val="006e5084"/>
    <w:rPr/>
  </w:style>
  <w:style w:type="character" w:styleId="WW8Num16z8" w:customStyle="1">
    <w:name w:val="WW8Num16z8"/>
    <w:qFormat/>
    <w:rsid w:val="006e5084"/>
    <w:rPr/>
  </w:style>
  <w:style w:type="character" w:styleId="WW8Num17z0" w:customStyle="1">
    <w:name w:val="WW8Num17z0"/>
    <w:qFormat/>
    <w:rsid w:val="006e5084"/>
    <w:rPr/>
  </w:style>
  <w:style w:type="character" w:styleId="WW8Num17z1" w:customStyle="1">
    <w:name w:val="WW8Num17z1"/>
    <w:qFormat/>
    <w:rsid w:val="006e5084"/>
    <w:rPr/>
  </w:style>
  <w:style w:type="character" w:styleId="WW8Num17z2" w:customStyle="1">
    <w:name w:val="WW8Num17z2"/>
    <w:qFormat/>
    <w:rsid w:val="006e5084"/>
    <w:rPr/>
  </w:style>
  <w:style w:type="character" w:styleId="WW8Num17z3" w:customStyle="1">
    <w:name w:val="WW8Num17z3"/>
    <w:qFormat/>
    <w:rsid w:val="006e5084"/>
    <w:rPr/>
  </w:style>
  <w:style w:type="character" w:styleId="WW8Num17z4" w:customStyle="1">
    <w:name w:val="WW8Num17z4"/>
    <w:qFormat/>
    <w:rsid w:val="006e5084"/>
    <w:rPr/>
  </w:style>
  <w:style w:type="character" w:styleId="WW8Num17z5" w:customStyle="1">
    <w:name w:val="WW8Num17z5"/>
    <w:qFormat/>
    <w:rsid w:val="006e5084"/>
    <w:rPr/>
  </w:style>
  <w:style w:type="character" w:styleId="WW8Num17z6" w:customStyle="1">
    <w:name w:val="WW8Num17z6"/>
    <w:qFormat/>
    <w:rsid w:val="006e5084"/>
    <w:rPr/>
  </w:style>
  <w:style w:type="character" w:styleId="WW8Num17z7" w:customStyle="1">
    <w:name w:val="WW8Num17z7"/>
    <w:qFormat/>
    <w:rsid w:val="006e5084"/>
    <w:rPr/>
  </w:style>
  <w:style w:type="character" w:styleId="WW8Num17z8" w:customStyle="1">
    <w:name w:val="WW8Num17z8"/>
    <w:qFormat/>
    <w:rsid w:val="006e5084"/>
    <w:rPr/>
  </w:style>
  <w:style w:type="character" w:styleId="WW8Num18z0" w:customStyle="1">
    <w:name w:val="WW8Num18z0"/>
    <w:qFormat/>
    <w:rsid w:val="006e5084"/>
    <w:rPr/>
  </w:style>
  <w:style w:type="character" w:styleId="WW8Num18z1" w:customStyle="1">
    <w:name w:val="WW8Num18z1"/>
    <w:qFormat/>
    <w:rsid w:val="006e5084"/>
    <w:rPr/>
  </w:style>
  <w:style w:type="character" w:styleId="WW8Num18z2" w:customStyle="1">
    <w:name w:val="WW8Num18z2"/>
    <w:qFormat/>
    <w:rsid w:val="006e5084"/>
    <w:rPr/>
  </w:style>
  <w:style w:type="character" w:styleId="WW8Num18z3" w:customStyle="1">
    <w:name w:val="WW8Num18z3"/>
    <w:qFormat/>
    <w:rsid w:val="006e5084"/>
    <w:rPr/>
  </w:style>
  <w:style w:type="character" w:styleId="WW8Num18z4" w:customStyle="1">
    <w:name w:val="WW8Num18z4"/>
    <w:qFormat/>
    <w:rsid w:val="006e5084"/>
    <w:rPr/>
  </w:style>
  <w:style w:type="character" w:styleId="WW8Num18z5" w:customStyle="1">
    <w:name w:val="WW8Num18z5"/>
    <w:qFormat/>
    <w:rsid w:val="006e5084"/>
    <w:rPr/>
  </w:style>
  <w:style w:type="character" w:styleId="WW8Num18z6" w:customStyle="1">
    <w:name w:val="WW8Num18z6"/>
    <w:qFormat/>
    <w:rsid w:val="006e5084"/>
    <w:rPr/>
  </w:style>
  <w:style w:type="character" w:styleId="WW8Num18z7" w:customStyle="1">
    <w:name w:val="WW8Num18z7"/>
    <w:qFormat/>
    <w:rsid w:val="006e5084"/>
    <w:rPr/>
  </w:style>
  <w:style w:type="character" w:styleId="WW8Num18z8" w:customStyle="1">
    <w:name w:val="WW8Num18z8"/>
    <w:qFormat/>
    <w:rsid w:val="006e5084"/>
    <w:rPr/>
  </w:style>
  <w:style w:type="character" w:styleId="WW8Num19z0" w:customStyle="1">
    <w:name w:val="WW8Num19z0"/>
    <w:qFormat/>
    <w:rsid w:val="006e5084"/>
    <w:rPr>
      <w:rFonts w:ascii="Courier New" w:hAnsi="Courier New" w:cs="Courier New"/>
    </w:rPr>
  </w:style>
  <w:style w:type="character" w:styleId="WW8Num19z2" w:customStyle="1">
    <w:name w:val="WW8Num19z2"/>
    <w:qFormat/>
    <w:rsid w:val="006e5084"/>
    <w:rPr>
      <w:rFonts w:ascii="Wingdings" w:hAnsi="Wingdings" w:cs="Wingdings"/>
    </w:rPr>
  </w:style>
  <w:style w:type="character" w:styleId="WW8Num19z3" w:customStyle="1">
    <w:name w:val="WW8Num19z3"/>
    <w:qFormat/>
    <w:rsid w:val="006e5084"/>
    <w:rPr>
      <w:rFonts w:ascii="Symbol" w:hAnsi="Symbol" w:cs="Symbol"/>
    </w:rPr>
  </w:style>
  <w:style w:type="character" w:styleId="WW8Num20z0" w:customStyle="1">
    <w:name w:val="WW8Num20z0"/>
    <w:qFormat/>
    <w:rsid w:val="006e5084"/>
    <w:rPr/>
  </w:style>
  <w:style w:type="character" w:styleId="WW8Num20z1" w:customStyle="1">
    <w:name w:val="WW8Num20z1"/>
    <w:qFormat/>
    <w:rsid w:val="006e5084"/>
    <w:rPr/>
  </w:style>
  <w:style w:type="character" w:styleId="WW8Num20z2" w:customStyle="1">
    <w:name w:val="WW8Num20z2"/>
    <w:qFormat/>
    <w:rsid w:val="006e5084"/>
    <w:rPr/>
  </w:style>
  <w:style w:type="character" w:styleId="WW8Num20z3" w:customStyle="1">
    <w:name w:val="WW8Num20z3"/>
    <w:qFormat/>
    <w:rsid w:val="006e5084"/>
    <w:rPr/>
  </w:style>
  <w:style w:type="character" w:styleId="WW8Num20z4" w:customStyle="1">
    <w:name w:val="WW8Num20z4"/>
    <w:qFormat/>
    <w:rsid w:val="006e5084"/>
    <w:rPr/>
  </w:style>
  <w:style w:type="character" w:styleId="WW8Num20z5" w:customStyle="1">
    <w:name w:val="WW8Num20z5"/>
    <w:qFormat/>
    <w:rsid w:val="006e5084"/>
    <w:rPr/>
  </w:style>
  <w:style w:type="character" w:styleId="WW8Num20z6" w:customStyle="1">
    <w:name w:val="WW8Num20z6"/>
    <w:qFormat/>
    <w:rsid w:val="006e5084"/>
    <w:rPr/>
  </w:style>
  <w:style w:type="character" w:styleId="WW8Num20z7" w:customStyle="1">
    <w:name w:val="WW8Num20z7"/>
    <w:qFormat/>
    <w:rsid w:val="006e5084"/>
    <w:rPr/>
  </w:style>
  <w:style w:type="character" w:styleId="WW8Num20z8" w:customStyle="1">
    <w:name w:val="WW8Num20z8"/>
    <w:qFormat/>
    <w:rsid w:val="006e5084"/>
    <w:rPr/>
  </w:style>
  <w:style w:type="character" w:styleId="WW8Num21z0" w:customStyle="1">
    <w:name w:val="WW8Num21z0"/>
    <w:qFormat/>
    <w:rsid w:val="006e5084"/>
    <w:rPr>
      <w:rFonts w:ascii="Symbol" w:hAnsi="Symbol" w:cs="Symbol"/>
    </w:rPr>
  </w:style>
  <w:style w:type="character" w:styleId="WW8Num21z1" w:customStyle="1">
    <w:name w:val="WW8Num21z1"/>
    <w:qFormat/>
    <w:rsid w:val="006e5084"/>
    <w:rPr>
      <w:rFonts w:ascii="Courier New" w:hAnsi="Courier New" w:cs="Courier New"/>
    </w:rPr>
  </w:style>
  <w:style w:type="character" w:styleId="WW8Num21z2" w:customStyle="1">
    <w:name w:val="WW8Num21z2"/>
    <w:qFormat/>
    <w:rsid w:val="006e5084"/>
    <w:rPr>
      <w:rFonts w:ascii="Wingdings" w:hAnsi="Wingdings" w:cs="Wingdings"/>
    </w:rPr>
  </w:style>
  <w:style w:type="character" w:styleId="WW8Num22z0" w:customStyle="1">
    <w:name w:val="WW8Num22z0"/>
    <w:qFormat/>
    <w:rsid w:val="006e5084"/>
    <w:rPr>
      <w:rFonts w:ascii="Symbol" w:hAnsi="Symbol" w:cs="Symbol"/>
    </w:rPr>
  </w:style>
  <w:style w:type="character" w:styleId="WW8Num22z1" w:customStyle="1">
    <w:name w:val="WW8Num22z1"/>
    <w:qFormat/>
    <w:rsid w:val="006e5084"/>
    <w:rPr>
      <w:rFonts w:ascii="Courier New" w:hAnsi="Courier New" w:cs="Courier New"/>
    </w:rPr>
  </w:style>
  <w:style w:type="character" w:styleId="WW8Num22z2" w:customStyle="1">
    <w:name w:val="WW8Num22z2"/>
    <w:qFormat/>
    <w:rsid w:val="006e5084"/>
    <w:rPr>
      <w:rFonts w:ascii="Wingdings" w:hAnsi="Wingdings" w:cs="Wingdings"/>
    </w:rPr>
  </w:style>
  <w:style w:type="character" w:styleId="WW8Num23z0" w:customStyle="1">
    <w:name w:val="WW8Num23z0"/>
    <w:qFormat/>
    <w:rsid w:val="006e5084"/>
    <w:rPr/>
  </w:style>
  <w:style w:type="character" w:styleId="WW8Num23z1" w:customStyle="1">
    <w:name w:val="WW8Num23z1"/>
    <w:qFormat/>
    <w:rsid w:val="006e5084"/>
    <w:rPr/>
  </w:style>
  <w:style w:type="character" w:styleId="WW8Num23z2" w:customStyle="1">
    <w:name w:val="WW8Num23z2"/>
    <w:qFormat/>
    <w:rsid w:val="006e5084"/>
    <w:rPr/>
  </w:style>
  <w:style w:type="character" w:styleId="WW8Num23z3" w:customStyle="1">
    <w:name w:val="WW8Num23z3"/>
    <w:qFormat/>
    <w:rsid w:val="006e5084"/>
    <w:rPr/>
  </w:style>
  <w:style w:type="character" w:styleId="WW8Num23z4" w:customStyle="1">
    <w:name w:val="WW8Num23z4"/>
    <w:qFormat/>
    <w:rsid w:val="006e5084"/>
    <w:rPr/>
  </w:style>
  <w:style w:type="character" w:styleId="WW8Num23z5" w:customStyle="1">
    <w:name w:val="WW8Num23z5"/>
    <w:qFormat/>
    <w:rsid w:val="006e5084"/>
    <w:rPr/>
  </w:style>
  <w:style w:type="character" w:styleId="WW8Num23z6" w:customStyle="1">
    <w:name w:val="WW8Num23z6"/>
    <w:qFormat/>
    <w:rsid w:val="006e5084"/>
    <w:rPr/>
  </w:style>
  <w:style w:type="character" w:styleId="WW8Num23z7" w:customStyle="1">
    <w:name w:val="WW8Num23z7"/>
    <w:qFormat/>
    <w:rsid w:val="006e5084"/>
    <w:rPr/>
  </w:style>
  <w:style w:type="character" w:styleId="WW8Num23z8" w:customStyle="1">
    <w:name w:val="WW8Num23z8"/>
    <w:qFormat/>
    <w:rsid w:val="006e5084"/>
    <w:rPr/>
  </w:style>
  <w:style w:type="character" w:styleId="WW8Num24z0" w:customStyle="1">
    <w:name w:val="WW8Num24z0"/>
    <w:qFormat/>
    <w:rsid w:val="006e5084"/>
    <w:rPr>
      <w:rFonts w:ascii="Times New Roman" w:hAnsi="Times New Roman" w:cs="Times New Roman"/>
      <w:b/>
      <w:bCs/>
      <w:sz w:val="22"/>
      <w:szCs w:val="22"/>
    </w:rPr>
  </w:style>
  <w:style w:type="character" w:styleId="WW8Num24z1" w:customStyle="1">
    <w:name w:val="WW8Num24z1"/>
    <w:qFormat/>
    <w:rsid w:val="006e5084"/>
    <w:rPr>
      <w:rFonts w:ascii="Wingdings" w:hAnsi="Wingdings" w:cs="Wingdings"/>
    </w:rPr>
  </w:style>
  <w:style w:type="character" w:styleId="WW8Num24z3" w:customStyle="1">
    <w:name w:val="WW8Num24z3"/>
    <w:qFormat/>
    <w:rsid w:val="006e5084"/>
    <w:rPr>
      <w:rFonts w:ascii="Symbol" w:hAnsi="Symbol" w:cs="Symbol"/>
    </w:rPr>
  </w:style>
  <w:style w:type="character" w:styleId="WW8Num24z4" w:customStyle="1">
    <w:name w:val="WW8Num24z4"/>
    <w:qFormat/>
    <w:rsid w:val="006e5084"/>
    <w:rPr>
      <w:rFonts w:ascii="Courier New" w:hAnsi="Courier New" w:cs="Courier New"/>
    </w:rPr>
  </w:style>
  <w:style w:type="character" w:styleId="WW8Num25z0" w:customStyle="1">
    <w:name w:val="WW8Num25z0"/>
    <w:qFormat/>
    <w:rsid w:val="006e5084"/>
    <w:rPr/>
  </w:style>
  <w:style w:type="character" w:styleId="WW8Num25z1" w:customStyle="1">
    <w:name w:val="WW8Num25z1"/>
    <w:qFormat/>
    <w:rsid w:val="006e5084"/>
    <w:rPr/>
  </w:style>
  <w:style w:type="character" w:styleId="WW8Num25z2" w:customStyle="1">
    <w:name w:val="WW8Num25z2"/>
    <w:qFormat/>
    <w:rsid w:val="006e5084"/>
    <w:rPr/>
  </w:style>
  <w:style w:type="character" w:styleId="WW8Num25z3" w:customStyle="1">
    <w:name w:val="WW8Num25z3"/>
    <w:qFormat/>
    <w:rsid w:val="006e5084"/>
    <w:rPr/>
  </w:style>
  <w:style w:type="character" w:styleId="WW8Num25z4" w:customStyle="1">
    <w:name w:val="WW8Num25z4"/>
    <w:qFormat/>
    <w:rsid w:val="006e5084"/>
    <w:rPr/>
  </w:style>
  <w:style w:type="character" w:styleId="WW8Num25z5" w:customStyle="1">
    <w:name w:val="WW8Num25z5"/>
    <w:qFormat/>
    <w:rsid w:val="006e5084"/>
    <w:rPr/>
  </w:style>
  <w:style w:type="character" w:styleId="WW8Num25z6" w:customStyle="1">
    <w:name w:val="WW8Num25z6"/>
    <w:qFormat/>
    <w:rsid w:val="006e5084"/>
    <w:rPr/>
  </w:style>
  <w:style w:type="character" w:styleId="WW8Num25z7" w:customStyle="1">
    <w:name w:val="WW8Num25z7"/>
    <w:qFormat/>
    <w:rsid w:val="006e5084"/>
    <w:rPr/>
  </w:style>
  <w:style w:type="character" w:styleId="WW8Num25z8" w:customStyle="1">
    <w:name w:val="WW8Num25z8"/>
    <w:qFormat/>
    <w:rsid w:val="006e5084"/>
    <w:rPr/>
  </w:style>
  <w:style w:type="character" w:styleId="WW8Num26z0" w:customStyle="1">
    <w:name w:val="WW8Num26z0"/>
    <w:qFormat/>
    <w:rsid w:val="006e5084"/>
    <w:rPr/>
  </w:style>
  <w:style w:type="character" w:styleId="WW8Num26z1" w:customStyle="1">
    <w:name w:val="WW8Num26z1"/>
    <w:qFormat/>
    <w:rsid w:val="006e5084"/>
    <w:rPr/>
  </w:style>
  <w:style w:type="character" w:styleId="WW8Num26z2" w:customStyle="1">
    <w:name w:val="WW8Num26z2"/>
    <w:qFormat/>
    <w:rsid w:val="006e5084"/>
    <w:rPr/>
  </w:style>
  <w:style w:type="character" w:styleId="WW8Num26z3" w:customStyle="1">
    <w:name w:val="WW8Num26z3"/>
    <w:qFormat/>
    <w:rsid w:val="006e5084"/>
    <w:rPr/>
  </w:style>
  <w:style w:type="character" w:styleId="WW8Num26z4" w:customStyle="1">
    <w:name w:val="WW8Num26z4"/>
    <w:qFormat/>
    <w:rsid w:val="006e5084"/>
    <w:rPr/>
  </w:style>
  <w:style w:type="character" w:styleId="WW8Num26z5" w:customStyle="1">
    <w:name w:val="WW8Num26z5"/>
    <w:qFormat/>
    <w:rsid w:val="006e5084"/>
    <w:rPr/>
  </w:style>
  <w:style w:type="character" w:styleId="WW8Num26z6" w:customStyle="1">
    <w:name w:val="WW8Num26z6"/>
    <w:qFormat/>
    <w:rsid w:val="006e5084"/>
    <w:rPr/>
  </w:style>
  <w:style w:type="character" w:styleId="WW8Num26z7" w:customStyle="1">
    <w:name w:val="WW8Num26z7"/>
    <w:qFormat/>
    <w:rsid w:val="006e5084"/>
    <w:rPr/>
  </w:style>
  <w:style w:type="character" w:styleId="WW8Num26z8" w:customStyle="1">
    <w:name w:val="WW8Num26z8"/>
    <w:qFormat/>
    <w:rsid w:val="006e5084"/>
    <w:rPr/>
  </w:style>
  <w:style w:type="character" w:styleId="WW8Num27z0" w:customStyle="1">
    <w:name w:val="WW8Num27z0"/>
    <w:qFormat/>
    <w:rsid w:val="006e5084"/>
    <w:rPr>
      <w:rFonts w:ascii="Wingdings" w:hAnsi="Wingdings" w:cs="Wingdings"/>
      <w:sz w:val="26"/>
      <w:szCs w:val="26"/>
    </w:rPr>
  </w:style>
  <w:style w:type="character" w:styleId="WW8Num27z1" w:customStyle="1">
    <w:name w:val="WW8Num27z1"/>
    <w:qFormat/>
    <w:rsid w:val="006e5084"/>
    <w:rPr>
      <w:rFonts w:ascii="Courier New" w:hAnsi="Courier New" w:cs="Courier New"/>
    </w:rPr>
  </w:style>
  <w:style w:type="character" w:styleId="WW8Num27z3" w:customStyle="1">
    <w:name w:val="WW8Num27z3"/>
    <w:qFormat/>
    <w:rsid w:val="006e5084"/>
    <w:rPr>
      <w:rFonts w:ascii="Symbol" w:hAnsi="Symbol" w:cs="Symbol"/>
    </w:rPr>
  </w:style>
  <w:style w:type="character" w:styleId="WW8Num28z0" w:customStyle="1">
    <w:name w:val="WW8Num28z0"/>
    <w:qFormat/>
    <w:rsid w:val="006e5084"/>
    <w:rPr>
      <w:rFonts w:ascii="Courier New" w:hAnsi="Courier New" w:cs="Courier New"/>
    </w:rPr>
  </w:style>
  <w:style w:type="character" w:styleId="WW8Num28z2" w:customStyle="1">
    <w:name w:val="WW8Num28z2"/>
    <w:qFormat/>
    <w:rsid w:val="006e5084"/>
    <w:rPr>
      <w:rFonts w:ascii="Wingdings" w:hAnsi="Wingdings" w:cs="Wingdings"/>
    </w:rPr>
  </w:style>
  <w:style w:type="character" w:styleId="WW8Num28z3" w:customStyle="1">
    <w:name w:val="WW8Num28z3"/>
    <w:qFormat/>
    <w:rsid w:val="006e5084"/>
    <w:rPr>
      <w:rFonts w:ascii="Symbol" w:hAnsi="Symbol" w:cs="Symbol"/>
    </w:rPr>
  </w:style>
  <w:style w:type="character" w:styleId="WW8Num29z0" w:customStyle="1">
    <w:name w:val="WW8Num29z0"/>
    <w:qFormat/>
    <w:rsid w:val="006e5084"/>
    <w:rPr>
      <w:b/>
    </w:rPr>
  </w:style>
  <w:style w:type="character" w:styleId="WW8Num29z1" w:customStyle="1">
    <w:name w:val="WW8Num29z1"/>
    <w:qFormat/>
    <w:rsid w:val="006e5084"/>
    <w:rPr/>
  </w:style>
  <w:style w:type="character" w:styleId="WW8Num29z2" w:customStyle="1">
    <w:name w:val="WW8Num29z2"/>
    <w:qFormat/>
    <w:rsid w:val="006e5084"/>
    <w:rPr/>
  </w:style>
  <w:style w:type="character" w:styleId="WW8Num29z3" w:customStyle="1">
    <w:name w:val="WW8Num29z3"/>
    <w:qFormat/>
    <w:rsid w:val="006e5084"/>
    <w:rPr/>
  </w:style>
  <w:style w:type="character" w:styleId="WW8Num29z4" w:customStyle="1">
    <w:name w:val="WW8Num29z4"/>
    <w:qFormat/>
    <w:rsid w:val="006e5084"/>
    <w:rPr/>
  </w:style>
  <w:style w:type="character" w:styleId="WW8Num29z5" w:customStyle="1">
    <w:name w:val="WW8Num29z5"/>
    <w:qFormat/>
    <w:rsid w:val="006e5084"/>
    <w:rPr/>
  </w:style>
  <w:style w:type="character" w:styleId="WW8Num29z6" w:customStyle="1">
    <w:name w:val="WW8Num29z6"/>
    <w:qFormat/>
    <w:rsid w:val="006e5084"/>
    <w:rPr/>
  </w:style>
  <w:style w:type="character" w:styleId="WW8Num29z7" w:customStyle="1">
    <w:name w:val="WW8Num29z7"/>
    <w:qFormat/>
    <w:rsid w:val="006e5084"/>
    <w:rPr/>
  </w:style>
  <w:style w:type="character" w:styleId="WW8Num29z8" w:customStyle="1">
    <w:name w:val="WW8Num29z8"/>
    <w:qFormat/>
    <w:rsid w:val="006e5084"/>
    <w:rPr/>
  </w:style>
  <w:style w:type="character" w:styleId="WW8Num30z0" w:customStyle="1">
    <w:name w:val="WW8Num30z0"/>
    <w:qFormat/>
    <w:rsid w:val="006e5084"/>
    <w:rPr>
      <w:b/>
      <w:bCs/>
      <w:lang w:val="en-IN"/>
    </w:rPr>
  </w:style>
  <w:style w:type="character" w:styleId="WW8Num30z1" w:customStyle="1">
    <w:name w:val="WW8Num30z1"/>
    <w:qFormat/>
    <w:rsid w:val="006e5084"/>
    <w:rPr/>
  </w:style>
  <w:style w:type="character" w:styleId="WW8Num30z2" w:customStyle="1">
    <w:name w:val="WW8Num30z2"/>
    <w:qFormat/>
    <w:rsid w:val="006e5084"/>
    <w:rPr/>
  </w:style>
  <w:style w:type="character" w:styleId="WW8Num30z3" w:customStyle="1">
    <w:name w:val="WW8Num30z3"/>
    <w:qFormat/>
    <w:rsid w:val="006e5084"/>
    <w:rPr/>
  </w:style>
  <w:style w:type="character" w:styleId="WW8Num30z4" w:customStyle="1">
    <w:name w:val="WW8Num30z4"/>
    <w:qFormat/>
    <w:rsid w:val="006e5084"/>
    <w:rPr/>
  </w:style>
  <w:style w:type="character" w:styleId="WW8Num30z5" w:customStyle="1">
    <w:name w:val="WW8Num30z5"/>
    <w:qFormat/>
    <w:rsid w:val="006e5084"/>
    <w:rPr/>
  </w:style>
  <w:style w:type="character" w:styleId="WW8Num30z6" w:customStyle="1">
    <w:name w:val="WW8Num30z6"/>
    <w:qFormat/>
    <w:rsid w:val="006e5084"/>
    <w:rPr/>
  </w:style>
  <w:style w:type="character" w:styleId="WW8Num30z7" w:customStyle="1">
    <w:name w:val="WW8Num30z7"/>
    <w:qFormat/>
    <w:rsid w:val="006e5084"/>
    <w:rPr/>
  </w:style>
  <w:style w:type="character" w:styleId="WW8Num30z8" w:customStyle="1">
    <w:name w:val="WW8Num30z8"/>
    <w:qFormat/>
    <w:rsid w:val="006e5084"/>
    <w:rPr/>
  </w:style>
  <w:style w:type="character" w:styleId="WW8Num31z0" w:customStyle="1">
    <w:name w:val="WW8Num31z0"/>
    <w:qFormat/>
    <w:rsid w:val="006e5084"/>
    <w:rPr/>
  </w:style>
  <w:style w:type="character" w:styleId="WW8Num31z1" w:customStyle="1">
    <w:name w:val="WW8Num31z1"/>
    <w:qFormat/>
    <w:rsid w:val="006e5084"/>
    <w:rPr/>
  </w:style>
  <w:style w:type="character" w:styleId="WW8Num31z2" w:customStyle="1">
    <w:name w:val="WW8Num31z2"/>
    <w:qFormat/>
    <w:rsid w:val="006e5084"/>
    <w:rPr/>
  </w:style>
  <w:style w:type="character" w:styleId="WW8Num31z3" w:customStyle="1">
    <w:name w:val="WW8Num31z3"/>
    <w:qFormat/>
    <w:rsid w:val="006e5084"/>
    <w:rPr/>
  </w:style>
  <w:style w:type="character" w:styleId="WW8Num31z4" w:customStyle="1">
    <w:name w:val="WW8Num31z4"/>
    <w:qFormat/>
    <w:rsid w:val="006e5084"/>
    <w:rPr/>
  </w:style>
  <w:style w:type="character" w:styleId="WW8Num31z5" w:customStyle="1">
    <w:name w:val="WW8Num31z5"/>
    <w:qFormat/>
    <w:rsid w:val="006e5084"/>
    <w:rPr/>
  </w:style>
  <w:style w:type="character" w:styleId="WW8Num31z6" w:customStyle="1">
    <w:name w:val="WW8Num31z6"/>
    <w:qFormat/>
    <w:rsid w:val="006e5084"/>
    <w:rPr/>
  </w:style>
  <w:style w:type="character" w:styleId="WW8Num31z7" w:customStyle="1">
    <w:name w:val="WW8Num31z7"/>
    <w:qFormat/>
    <w:rsid w:val="006e5084"/>
    <w:rPr/>
  </w:style>
  <w:style w:type="character" w:styleId="WW8Num31z8" w:customStyle="1">
    <w:name w:val="WW8Num31z8"/>
    <w:qFormat/>
    <w:rsid w:val="006e5084"/>
    <w:rPr/>
  </w:style>
  <w:style w:type="character" w:styleId="ListParagraphChar" w:customStyle="1">
    <w:name w:val="List Paragraph Char"/>
    <w:qFormat/>
    <w:rsid w:val="006e5084"/>
    <w:rPr>
      <w:rFonts w:ascii="Calibri" w:hAnsi="Calibri" w:eastAsia="Calibri" w:cs="Times New Roman"/>
      <w:lang w:val="en-US"/>
    </w:rPr>
  </w:style>
  <w:style w:type="character" w:styleId="HeaderChar" w:customStyle="1">
    <w:name w:val="Header Char"/>
    <w:basedOn w:val="DefaultParagraphFont"/>
    <w:qFormat/>
    <w:rsid w:val="006e5084"/>
    <w:rPr/>
  </w:style>
  <w:style w:type="character" w:styleId="FooterChar" w:customStyle="1">
    <w:name w:val="Footer Char"/>
    <w:basedOn w:val="DefaultParagraphFont"/>
    <w:qFormat/>
    <w:rsid w:val="006e5084"/>
    <w:rPr/>
  </w:style>
  <w:style w:type="character" w:styleId="BalloonTextChar" w:customStyle="1">
    <w:name w:val="Balloon Text Char"/>
    <w:qFormat/>
    <w:rsid w:val="006e5084"/>
    <w:rPr>
      <w:rFonts w:ascii="Segoe UI" w:hAnsi="Segoe UI" w:cs="Segoe UI"/>
      <w:sz w:val="18"/>
      <w:szCs w:val="18"/>
    </w:rPr>
  </w:style>
  <w:style w:type="character" w:styleId="InternetLink">
    <w:name w:val="Hyperlink"/>
    <w:rsid w:val="006e5084"/>
    <w:rPr>
      <w:color w:val="0000FF"/>
      <w:u w:val="single"/>
    </w:rPr>
  </w:style>
  <w:style w:type="character" w:styleId="Strong">
    <w:name w:val="Strong"/>
    <w:qFormat/>
    <w:rsid w:val="006e5084"/>
    <w:rPr>
      <w:b/>
      <w:bCs/>
    </w:rPr>
  </w:style>
  <w:style w:type="character" w:styleId="BodyTextChar" w:customStyle="1">
    <w:name w:val="Body Text Char"/>
    <w:basedOn w:val="DefaultParagraphFont"/>
    <w:link w:val="Textbody1"/>
    <w:qFormat/>
    <w:rsid w:val="006e5084"/>
    <w:rPr>
      <w:rFonts w:ascii="Liberation Serif" w:hAnsi="Liberation Serif" w:eastAsia="Noto Sans CJK SC" w:cs="Lohit Devanagari"/>
      <w:kern w:val="2"/>
      <w:sz w:val="24"/>
      <w:szCs w:val="24"/>
      <w:lang w:eastAsia="zh-CN" w:bidi="hi-IN"/>
      <w14:ligatures w14:val="none"/>
    </w:rPr>
  </w:style>
  <w:style w:type="character" w:styleId="HeaderChar1" w:customStyle="1">
    <w:name w:val="Header Char1"/>
    <w:basedOn w:val="DefaultParagraphFont"/>
    <w:link w:val="Header"/>
    <w:qFormat/>
    <w:rsid w:val="006e5084"/>
    <w:rPr>
      <w:rFonts w:ascii="Calibri" w:hAnsi="Calibri" w:eastAsia="Calibri" w:cs="Times New Roman"/>
      <w:kern w:val="0"/>
      <w:lang w:eastAsia="zh-CN"/>
      <w14:ligatures w14:val="none"/>
    </w:rPr>
  </w:style>
  <w:style w:type="character" w:styleId="FooterChar1" w:customStyle="1">
    <w:name w:val="Footer Char1"/>
    <w:basedOn w:val="DefaultParagraphFont"/>
    <w:link w:val="Footer"/>
    <w:qFormat/>
    <w:rsid w:val="006e5084"/>
    <w:rPr>
      <w:rFonts w:ascii="Calibri" w:hAnsi="Calibri" w:eastAsia="Calibri" w:cs="Times New Roman"/>
      <w:kern w:val="0"/>
      <w:lang w:eastAsia="zh-CN"/>
      <w14:ligatures w14:val="none"/>
    </w:rPr>
  </w:style>
  <w:style w:type="character" w:styleId="BalloonTextChar1" w:customStyle="1">
    <w:name w:val="Balloon Text Char1"/>
    <w:basedOn w:val="DefaultParagraphFont"/>
    <w:link w:val="BalloonText"/>
    <w:qFormat/>
    <w:rsid w:val="006e5084"/>
    <w:rPr>
      <w:rFonts w:ascii="Segoe UI" w:hAnsi="Segoe UI" w:eastAsia="Calibri" w:cs="Segoe UI"/>
      <w:kern w:val="0"/>
      <w:sz w:val="18"/>
      <w:szCs w:val="18"/>
      <w:lang w:eastAsia="zh-CN"/>
      <w14:ligatures w14:val="none"/>
    </w:rPr>
  </w:style>
  <w:style w:type="paragraph" w:styleId="Heading" w:customStyle="1">
    <w:name w:val="Heading"/>
    <w:basedOn w:val="Normal"/>
    <w:next w:val="Normal"/>
    <w:qFormat/>
    <w:rsid w:val="006e5084"/>
    <w:pPr>
      <w:keepNext w:val="true"/>
      <w:keepLines/>
      <w:spacing w:before="480" w:after="120"/>
    </w:pPr>
    <w:rPr>
      <w:b/>
      <w:sz w:val="72"/>
      <w:szCs w:val="72"/>
    </w:rPr>
  </w:style>
  <w:style w:type="paragraph" w:styleId="TextBody">
    <w:name w:val="Body Text"/>
    <w:basedOn w:val="Normal"/>
    <w:link w:val="BodyTextChar"/>
    <w:rsid w:val="006e5084"/>
    <w:pPr>
      <w:spacing w:lineRule="auto" w:line="276" w:before="0" w:after="140"/>
    </w:pPr>
    <w:rPr>
      <w:rFonts w:ascii="Liberation Serif" w:hAnsi="Liberation Serif" w:eastAsia="Noto Sans CJK SC" w:cs="Lohit Devanagari"/>
      <w:kern w:val="2"/>
      <w:sz w:val="24"/>
      <w:szCs w:val="24"/>
      <w:lang w:bidi="hi-IN"/>
    </w:rPr>
  </w:style>
  <w:style w:type="paragraph" w:styleId="List">
    <w:name w:val="List"/>
    <w:basedOn w:val="TextBody"/>
    <w:rsid w:val="006e5084"/>
    <w:pPr/>
    <w:rPr/>
  </w:style>
  <w:style w:type="paragraph" w:styleId="Caption">
    <w:name w:val="Caption"/>
    <w:basedOn w:val="Normal"/>
    <w:qFormat/>
    <w:pPr>
      <w:suppressLineNumbers/>
      <w:spacing w:before="120" w:after="120"/>
    </w:pPr>
    <w:rPr>
      <w:rFonts w:cs="Droid Sans Devanagari"/>
      <w:i/>
      <w:iCs/>
      <w:sz w:val="24"/>
      <w:szCs w:val="24"/>
    </w:rPr>
  </w:style>
  <w:style w:type="paragraph" w:styleId="Index" w:customStyle="1">
    <w:name w:val="Index"/>
    <w:basedOn w:val="Normal"/>
    <w:qFormat/>
    <w:rsid w:val="006e5084"/>
    <w:pPr>
      <w:suppressLineNumbers/>
    </w:pPr>
    <w:rPr>
      <w:rFonts w:cs="Lohit Devanagari"/>
    </w:rPr>
  </w:style>
  <w:style w:type="paragraph" w:styleId="Caption1">
    <w:name w:val="caption"/>
    <w:basedOn w:val="Normal"/>
    <w:qFormat/>
    <w:rsid w:val="006e5084"/>
    <w:pPr>
      <w:suppressLineNumbers/>
      <w:spacing w:before="120" w:after="120"/>
    </w:pPr>
    <w:rPr>
      <w:rFonts w:cs="Lohit Devanagari"/>
      <w:i/>
      <w:iCs/>
      <w:sz w:val="24"/>
      <w:szCs w:val="24"/>
    </w:rPr>
  </w:style>
  <w:style w:type="paragraph" w:styleId="ListParagraph">
    <w:name w:val="List Paragraph"/>
    <w:basedOn w:val="Normal"/>
    <w:qFormat/>
    <w:rsid w:val="006e5084"/>
    <w:pPr>
      <w:spacing w:lineRule="auto" w:line="276" w:before="0" w:after="200"/>
      <w:ind w:left="720" w:hanging="0"/>
      <w:contextualSpacing/>
    </w:pPr>
    <w:rPr/>
  </w:style>
  <w:style w:type="paragraph" w:styleId="HeaderandFooter">
    <w:name w:val="Header and Footer"/>
    <w:basedOn w:val="Normal"/>
    <w:qFormat/>
    <w:pPr/>
    <w:rPr/>
  </w:style>
  <w:style w:type="paragraph" w:styleId="Header">
    <w:name w:val="Header"/>
    <w:basedOn w:val="Normal"/>
    <w:link w:val="HeaderChar1"/>
    <w:rsid w:val="006e5084"/>
    <w:pPr>
      <w:tabs>
        <w:tab w:val="clear" w:pos="720"/>
        <w:tab w:val="center" w:pos="4513" w:leader="none"/>
        <w:tab w:val="right" w:pos="9026" w:leader="none"/>
      </w:tabs>
      <w:spacing w:lineRule="auto" w:line="240" w:before="0" w:after="0"/>
    </w:pPr>
    <w:rPr/>
  </w:style>
  <w:style w:type="paragraph" w:styleId="Footer">
    <w:name w:val="Footer"/>
    <w:basedOn w:val="Normal"/>
    <w:link w:val="FooterChar1"/>
    <w:rsid w:val="006e5084"/>
    <w:pPr>
      <w:tabs>
        <w:tab w:val="clear" w:pos="720"/>
        <w:tab w:val="center" w:pos="4513" w:leader="none"/>
        <w:tab w:val="right" w:pos="9026" w:leader="none"/>
      </w:tabs>
      <w:spacing w:lineRule="auto" w:line="240" w:before="0" w:after="0"/>
    </w:pPr>
    <w:rPr/>
  </w:style>
  <w:style w:type="paragraph" w:styleId="BalloonText">
    <w:name w:val="Balloon Text"/>
    <w:basedOn w:val="Normal"/>
    <w:link w:val="BalloonTextChar1"/>
    <w:qFormat/>
    <w:rsid w:val="006e5084"/>
    <w:pPr>
      <w:spacing w:lineRule="auto" w:line="240" w:before="0" w:after="0"/>
    </w:pPr>
    <w:rPr>
      <w:rFonts w:ascii="Segoe UI" w:hAnsi="Segoe UI" w:cs="Segoe UI"/>
      <w:sz w:val="18"/>
      <w:szCs w:val="18"/>
    </w:rPr>
  </w:style>
  <w:style w:type="paragraph" w:styleId="NormalWeb">
    <w:name w:val="Normal (Web)"/>
    <w:basedOn w:val="Normal"/>
    <w:qFormat/>
    <w:rsid w:val="006e5084"/>
    <w:pPr>
      <w:spacing w:lineRule="auto" w:line="240" w:before="280" w:after="280"/>
    </w:pPr>
    <w:rPr>
      <w:rFonts w:ascii="Times New Roman" w:hAnsi="Times New Roman" w:eastAsia="Times New Roman"/>
      <w:sz w:val="24"/>
      <w:szCs w:val="24"/>
    </w:rPr>
  </w:style>
  <w:style w:type="paragraph" w:styleId="Textbody1" w:customStyle="1">
    <w:name w:val="Text body"/>
    <w:basedOn w:val="Normal"/>
    <w:qFormat/>
    <w:rsid w:val="006e5084"/>
    <w:pPr>
      <w:spacing w:lineRule="auto" w:line="240" w:before="180" w:after="180"/>
      <w:textAlignment w:val="baseline"/>
    </w:pPr>
    <w:rPr>
      <w:rFonts w:ascii="Cambria" w:hAnsi="Cambria" w:eastAsia="Cambria" w:cs="F1"/>
      <w:color w:val="00000A"/>
      <w:kern w:val="2"/>
      <w:sz w:val="24"/>
      <w:szCs w:val="24"/>
    </w:rPr>
  </w:style>
  <w:style w:type="paragraph" w:styleId="TableContents" w:customStyle="1">
    <w:name w:val="Table Contents"/>
    <w:basedOn w:val="Normal"/>
    <w:qFormat/>
    <w:rsid w:val="006e5084"/>
    <w:pPr>
      <w:spacing w:lineRule="auto" w:line="240" w:before="0" w:after="200"/>
      <w:textAlignment w:val="baseline"/>
    </w:pPr>
    <w:rPr>
      <w:rFonts w:ascii="Cambria" w:hAnsi="Cambria" w:eastAsia="Cambria" w:cs="F1"/>
      <w:color w:val="00000A"/>
      <w:kern w:val="2"/>
      <w:sz w:val="24"/>
      <w:szCs w:val="24"/>
    </w:rPr>
  </w:style>
  <w:style w:type="paragraph" w:styleId="Standard" w:customStyle="1">
    <w:name w:val="Standard"/>
    <w:qFormat/>
    <w:rsid w:val="006e5084"/>
    <w:pPr>
      <w:widowControl/>
      <w:suppressAutoHyphens w:val="true"/>
      <w:bidi w:val="0"/>
      <w:spacing w:lineRule="auto" w:line="240" w:before="0" w:after="200"/>
      <w:jc w:val="left"/>
      <w:textAlignment w:val="baseline"/>
    </w:pPr>
    <w:rPr>
      <w:rFonts w:ascii="Cambria" w:hAnsi="Cambria" w:eastAsia="Cambria" w:cs="F1"/>
      <w:color w:val="00000A"/>
      <w:kern w:val="2"/>
      <w:sz w:val="24"/>
      <w:szCs w:val="24"/>
      <w:lang w:val="en-US" w:eastAsia="zh-CN" w:bidi="ar-SA"/>
      <w14:ligatures w14:val="none"/>
    </w:rPr>
  </w:style>
  <w:style w:type="paragraph" w:styleId="WW-ListParagraph" w:customStyle="1">
    <w:name w:val="WW-List Paragraph"/>
    <w:basedOn w:val="Normal"/>
    <w:qFormat/>
    <w:rsid w:val="006e5084"/>
    <w:pPr>
      <w:ind w:left="720" w:hanging="0"/>
    </w:pPr>
    <w:rPr/>
  </w:style>
  <w:style w:type="paragraph" w:styleId="TableHeading" w:customStyle="1">
    <w:name w:val="Table Heading"/>
    <w:basedOn w:val="TableContents"/>
    <w:qFormat/>
    <w:rsid w:val="006e5084"/>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342</TotalTime>
  <Application>LibreOffice/7.5.2.2$Linux_X86_64 LibreOffice_project/50$Build-2</Application>
  <AppVersion>15.0000</AppVersion>
  <Pages>16</Pages>
  <Words>3199</Words>
  <Characters>16866</Characters>
  <CharactersWithSpaces>19829</CharactersWithSpaces>
  <Paragraphs>565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2024-04-03T07:49:00Z</dcterms:created>
  <dc:creator>DELL22</dc:creator>
  <dc:description/>
  <dc:language>en-US</dc:language>
  <cp:lastModifiedBy/>
  <dcterms:modified xsi:type="dcterms:W3CDTF">2024-07-08T16:28:45Z</dcterms:modified>
  <cp:revision>157</cp:revision>
  <dc:subject/>
  <dc:title/>
</cp:coreProperties>
</file>

<file path=docProps/custom.xml><?xml version="1.0" encoding="utf-8"?>
<Properties xmlns="http://schemas.openxmlformats.org/officeDocument/2006/custom-properties" xmlns:vt="http://schemas.openxmlformats.org/officeDocument/2006/docPropsVTypes"/>
</file>