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FirstParagraph"/>
        <w:spacing w:before="0" w:after="0"/>
        <w:jc w:val="center"/>
        <w:rPr>
          <w:rFonts w:cs="" w:asciiTheme="majorBidi" w:cstheme="majorBidi" w:hAnsiTheme="majorBidi"/>
          <w:b/>
          <w:bCs/>
          <w:color w:val="auto"/>
          <w:sz w:val="26"/>
          <w:szCs w:val="26"/>
          <w:u w:val="single"/>
        </w:rPr>
      </w:pPr>
      <w:r>
        <w:rPr>
          <w:rFonts w:cs="" w:asciiTheme="majorBidi" w:cstheme="majorBidi" w:hAnsiTheme="majorBidi"/>
          <w:b/>
          <w:bCs/>
          <w:color w:val="auto"/>
          <w:sz w:val="26"/>
          <w:szCs w:val="26"/>
          <w:u w:val="single"/>
        </w:rPr>
        <w:t>REPORTING PROFORMA FOR COMMERCIAL WINGS</w:t>
      </w:r>
    </w:p>
    <w:p>
      <w:pPr>
        <w:pStyle w:val="FirstParagraph"/>
        <w:spacing w:before="0" w:after="0"/>
        <w:jc w:val="center"/>
        <w:rPr>
          <w:rFonts w:cs="" w:asciiTheme="majorBidi" w:cstheme="majorBidi" w:hAnsiTheme="majorBidi"/>
          <w:b/>
          <w:bCs/>
          <w:color w:val="auto"/>
          <w:sz w:val="26"/>
          <w:szCs w:val="26"/>
          <w:u w:val="single"/>
        </w:rPr>
      </w:pPr>
      <w:r>
        <w:rPr>
          <w:rFonts w:cs="" w:asciiTheme="majorBidi" w:cstheme="majorBidi" w:hAnsiTheme="majorBidi"/>
          <w:b/>
          <w:bCs/>
          <w:color w:val="auto"/>
          <w:sz w:val="26"/>
          <w:szCs w:val="26"/>
          <w:u w:val="single"/>
        </w:rPr>
      </w:r>
    </w:p>
    <w:p>
      <w:pPr>
        <w:pStyle w:val="Textbody1"/>
        <w:spacing w:before="0" w:after="0"/>
        <w:jc w:val="center"/>
        <w:rPr>
          <w:rFonts w:cs="" w:asciiTheme="majorBidi" w:cstheme="majorBidi" w:hAnsiTheme="majorBidi"/>
          <w:color w:val="auto"/>
          <w:sz w:val="26"/>
          <w:szCs w:val="26"/>
        </w:rPr>
      </w:pPr>
      <w:r>
        <w:rPr>
          <w:rFonts w:cs="" w:asciiTheme="majorBidi" w:cstheme="majorBidi" w:hAnsiTheme="majorBidi"/>
          <w:b/>
          <w:bCs/>
          <w:color w:val="auto"/>
          <w:sz w:val="26"/>
          <w:szCs w:val="26"/>
          <w:u w:val="single"/>
        </w:rPr>
        <w:t>MONTHLY REPORT- June 2024</w:t>
      </w:r>
    </w:p>
    <w:p>
      <w:pPr>
        <w:pStyle w:val="Textbody1"/>
        <w:spacing w:before="0" w:after="0"/>
        <w:jc w:val="center"/>
        <w:rPr>
          <w:rFonts w:cs="" w:asciiTheme="majorBidi" w:cstheme="majorBidi" w:hAnsiTheme="majorBidi"/>
          <w:color w:val="auto"/>
          <w:sz w:val="26"/>
          <w:szCs w:val="26"/>
        </w:rPr>
      </w:pPr>
      <w:r>
        <w:rPr>
          <w:rFonts w:cs="" w:asciiTheme="majorBidi" w:cstheme="majorBidi" w:hAnsiTheme="majorBidi"/>
          <w:color w:val="auto"/>
          <w:sz w:val="26"/>
          <w:szCs w:val="26"/>
        </w:rPr>
        <w:t>(Trade in Goods and Qualitative)</w:t>
      </w:r>
    </w:p>
    <w:p>
      <w:pPr>
        <w:pStyle w:val="Textbody1"/>
        <w:spacing w:before="0" w:after="0"/>
        <w:jc w:val="center"/>
        <w:rPr>
          <w:rFonts w:cs="" w:asciiTheme="majorBidi" w:cstheme="majorBidi" w:hAnsiTheme="majorBidi"/>
          <w:color w:val="auto"/>
          <w:sz w:val="26"/>
          <w:szCs w:val="26"/>
        </w:rPr>
      </w:pPr>
      <w:r>
        <w:rPr>
          <w:rFonts w:cs="" w:asciiTheme="majorBidi" w:cstheme="majorBidi" w:hAnsiTheme="majorBidi"/>
          <w:color w:val="auto"/>
          <w:sz w:val="26"/>
          <w:szCs w:val="26"/>
        </w:rPr>
      </w:r>
    </w:p>
    <w:p>
      <w:pPr>
        <w:pStyle w:val="Textbody1"/>
        <w:spacing w:before="0" w:after="0"/>
        <w:jc w:val="center"/>
        <w:rPr>
          <w:rFonts w:cs="" w:asciiTheme="majorBidi" w:cstheme="majorBidi" w:hAnsiTheme="majorBidi"/>
          <w:color w:val="auto"/>
          <w:sz w:val="26"/>
          <w:szCs w:val="26"/>
          <w:lang w:bidi="ar-EG"/>
        </w:rPr>
      </w:pPr>
      <w:r>
        <w:rPr>
          <w:rFonts w:cs="" w:asciiTheme="majorBidi" w:cstheme="majorBidi" w:hAnsiTheme="majorBidi"/>
          <w:color w:val="auto"/>
          <w:sz w:val="26"/>
          <w:szCs w:val="26"/>
          <w:lang w:bidi="ar-EG"/>
        </w:rPr>
      </w:r>
    </w:p>
    <w:p>
      <w:pPr>
        <w:pStyle w:val="Textbody1"/>
        <w:spacing w:before="0" w:after="0"/>
        <w:rPr>
          <w:rFonts w:cs="" w:asciiTheme="majorBidi" w:cstheme="majorBidi" w:hAnsiTheme="majorBidi"/>
          <w:color w:val="auto"/>
          <w:sz w:val="26"/>
          <w:szCs w:val="26"/>
        </w:rPr>
      </w:pPr>
      <w:r>
        <w:rPr>
          <w:rFonts w:cs="" w:asciiTheme="majorBidi" w:cstheme="majorBidi" w:hAnsiTheme="majorBidi"/>
          <w:color w:val="auto"/>
          <w:sz w:val="26"/>
          <w:szCs w:val="26"/>
        </w:rPr>
        <w:t xml:space="preserve">Name of the Mission (Country): </w:t>
      </w:r>
      <w:r>
        <w:rPr>
          <w:rFonts w:cs="" w:asciiTheme="majorBidi" w:cstheme="majorBidi" w:hAnsiTheme="majorBidi"/>
          <w:b/>
          <w:bCs/>
          <w:color w:val="auto"/>
          <w:sz w:val="26"/>
          <w:szCs w:val="26"/>
        </w:rPr>
        <w:t>EGYPT</w:t>
      </w:r>
    </w:p>
    <w:p>
      <w:pPr>
        <w:pStyle w:val="Textbody1"/>
        <w:spacing w:before="0" w:after="0"/>
        <w:jc w:val="center"/>
        <w:rPr>
          <w:rFonts w:cs="" w:asciiTheme="majorBidi" w:cstheme="majorBidi" w:hAnsiTheme="majorBidi"/>
          <w:color w:val="auto"/>
          <w:sz w:val="26"/>
          <w:szCs w:val="26"/>
        </w:rPr>
      </w:pPr>
      <w:r>
        <w:rPr>
          <w:rFonts w:cs="" w:asciiTheme="majorBidi" w:cstheme="majorBidi" w:hAnsiTheme="majorBidi"/>
          <w:color w:val="auto"/>
          <w:sz w:val="26"/>
          <w:szCs w:val="26"/>
        </w:rPr>
      </w:r>
    </w:p>
    <w:p>
      <w:pPr>
        <w:pStyle w:val="Textbody1"/>
        <w:numPr>
          <w:ilvl w:val="0"/>
          <w:numId w:val="1"/>
        </w:numPr>
        <w:spacing w:before="0" w:after="0"/>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TRADE IN GOODS</w:t>
      </w:r>
    </w:p>
    <w:p>
      <w:pPr>
        <w:pStyle w:val="Textbody1"/>
        <w:spacing w:before="0" w:after="0"/>
        <w:ind w:left="1080" w:hanging="0"/>
        <w:rPr>
          <w:rFonts w:cs="" w:asciiTheme="majorBidi" w:cstheme="majorBidi" w:hAnsiTheme="majorBidi"/>
          <w:color w:val="auto"/>
          <w:sz w:val="26"/>
          <w:szCs w:val="26"/>
        </w:rPr>
      </w:pPr>
      <w:r>
        <w:rPr>
          <w:rFonts w:cs="" w:asciiTheme="majorBidi" w:cstheme="majorBidi" w:hAnsiTheme="majorBidi"/>
          <w:color w:val="auto"/>
          <w:sz w:val="26"/>
          <w:szCs w:val="26"/>
        </w:rPr>
      </w:r>
    </w:p>
    <w:p>
      <w:pPr>
        <w:pStyle w:val="Textbody1"/>
        <w:spacing w:before="0" w:after="0"/>
        <w:rPr>
          <w:rFonts w:cs="" w:asciiTheme="majorBidi" w:cstheme="majorBidi" w:hAnsiTheme="majorBidi"/>
          <w:color w:val="auto"/>
          <w:sz w:val="26"/>
          <w:szCs w:val="26"/>
        </w:rPr>
      </w:pPr>
      <w:r>
        <w:rPr>
          <w:rFonts w:cs="" w:asciiTheme="majorBidi" w:cstheme="majorBidi" w:hAnsiTheme="majorBidi"/>
          <w:color w:val="auto"/>
          <w:sz w:val="26"/>
          <w:szCs w:val="26"/>
        </w:rPr>
        <w:t>Data is available till March 2024 on CAPMAS</w:t>
      </w:r>
    </w:p>
    <w:p>
      <w:pPr>
        <w:pStyle w:val="Textbody1"/>
        <w:spacing w:before="0" w:after="0"/>
        <w:rPr>
          <w:rFonts w:cs="" w:asciiTheme="majorBidi" w:cstheme="majorBidi" w:hAnsiTheme="majorBidi"/>
          <w:color w:val="auto"/>
          <w:sz w:val="26"/>
          <w:szCs w:val="26"/>
        </w:rPr>
      </w:pPr>
      <w:r>
        <w:rPr>
          <w:rFonts w:cs="" w:asciiTheme="majorBidi" w:cstheme="majorBidi" w:hAnsiTheme="majorBidi"/>
          <w:color w:val="auto"/>
          <w:sz w:val="26"/>
          <w:szCs w:val="26"/>
        </w:rPr>
      </w:r>
    </w:p>
    <w:p>
      <w:pPr>
        <w:pStyle w:val="Textbody1"/>
        <w:spacing w:before="0" w:after="0"/>
        <w:rPr>
          <w:rFonts w:cs="" w:asciiTheme="majorBidi" w:cstheme="majorBidi" w:hAnsiTheme="majorBidi"/>
          <w:color w:val="auto"/>
          <w:sz w:val="26"/>
          <w:szCs w:val="26"/>
        </w:rPr>
      </w:pPr>
      <w:r>
        <w:rPr>
          <w:rFonts w:cs="" w:asciiTheme="majorBidi" w:cstheme="majorBidi" w:hAnsiTheme="majorBidi"/>
          <w:color w:val="auto"/>
          <w:sz w:val="26"/>
          <w:szCs w:val="26"/>
        </w:rPr>
        <w:t xml:space="preserve">a) </w:t>
        <w:tab/>
        <w:t>Total trade in goods during June</w:t>
      </w:r>
      <w:bookmarkStart w:id="0" w:name="_Hlk161327364"/>
      <w:r>
        <w:rPr>
          <w:rFonts w:cs="" w:asciiTheme="majorBidi" w:cstheme="majorBidi" w:hAnsiTheme="majorBidi"/>
          <w:color w:val="auto"/>
          <w:sz w:val="26"/>
          <w:szCs w:val="26"/>
        </w:rPr>
        <w:t xml:space="preserve"> </w:t>
      </w:r>
      <w:bookmarkEnd w:id="0"/>
      <w:r>
        <w:rPr>
          <w:rFonts w:cs="" w:asciiTheme="majorBidi" w:cstheme="majorBidi" w:hAnsiTheme="majorBidi"/>
          <w:color w:val="auto"/>
          <w:sz w:val="26"/>
          <w:szCs w:val="26"/>
        </w:rPr>
        <w:t>2024 (Data is available till March 2024 on CAPMAS)</w:t>
      </w:r>
    </w:p>
    <w:p>
      <w:pPr>
        <w:pStyle w:val="Textbody1"/>
        <w:spacing w:before="0" w:after="0"/>
        <w:rPr>
          <w:rFonts w:cs="" w:asciiTheme="majorBidi" w:cstheme="majorBidi" w:hAnsiTheme="majorBidi"/>
          <w:color w:val="auto"/>
          <w:sz w:val="26"/>
          <w:szCs w:val="26"/>
        </w:rPr>
      </w:pPr>
      <w:r>
        <w:rPr>
          <w:rFonts w:cs="" w:asciiTheme="majorBidi" w:cstheme="majorBidi" w:hAnsiTheme="majorBidi"/>
          <w:color w:val="auto"/>
          <w:sz w:val="26"/>
          <w:szCs w:val="26"/>
        </w:rPr>
      </w:r>
    </w:p>
    <w:tbl>
      <w:tblPr>
        <w:tblW w:w="10080" w:type="dxa"/>
        <w:jc w:val="left"/>
        <w:tblInd w:w="3" w:type="dxa"/>
        <w:tblLayout w:type="fixed"/>
        <w:tblCellMar>
          <w:top w:w="55" w:type="dxa"/>
          <w:left w:w="36" w:type="dxa"/>
          <w:bottom w:w="55" w:type="dxa"/>
          <w:right w:w="55" w:type="dxa"/>
        </w:tblCellMar>
        <w:tblLook w:val="0000" w:noHBand="0" w:noVBand="0" w:firstColumn="0" w:lastRow="0" w:lastColumn="0" w:firstRow="0"/>
      </w:tblPr>
      <w:tblGrid>
        <w:gridCol w:w="3418"/>
        <w:gridCol w:w="2067"/>
        <w:gridCol w:w="2164"/>
        <w:gridCol w:w="2430"/>
      </w:tblGrid>
      <w:tr>
        <w:trPr/>
        <w:tc>
          <w:tcPr>
            <w:tcW w:w="3418" w:type="dxa"/>
            <w:tcBorders>
              <w:top w:val="single" w:sz="2" w:space="0" w:color="000001"/>
              <w:left w:val="single" w:sz="2" w:space="0" w:color="000001"/>
              <w:bottom w:val="single" w:sz="2" w:space="0" w:color="000001"/>
            </w:tcBorders>
            <w:shd w:color="auto" w:fill="FFFFFF" w:val="clear"/>
            <w:vAlign w:val="center"/>
          </w:tcPr>
          <w:p>
            <w:pPr>
              <w:pStyle w:val="TableContents"/>
              <w:widowControl w:val="false"/>
              <w:jc w:val="center"/>
              <w:rPr>
                <w:rFonts w:cs="" w:asciiTheme="majorBidi" w:cstheme="majorBidi" w:hAnsiTheme="majorBidi"/>
                <w:color w:val="auto"/>
                <w:sz w:val="26"/>
                <w:szCs w:val="26"/>
              </w:rPr>
            </w:pPr>
            <w:r>
              <w:rPr>
                <w:rFonts w:cs="" w:asciiTheme="majorBidi" w:cstheme="majorBidi" w:hAnsiTheme="majorBidi"/>
                <w:color w:val="auto"/>
                <w:sz w:val="26"/>
                <w:szCs w:val="26"/>
              </w:rPr>
            </w:r>
          </w:p>
        </w:tc>
        <w:tc>
          <w:tcPr>
            <w:tcW w:w="2067" w:type="dxa"/>
            <w:tcBorders>
              <w:top w:val="single" w:sz="2" w:space="0" w:color="000001"/>
              <w:left w:val="single" w:sz="2" w:space="0" w:color="000001"/>
              <w:bottom w:val="single" w:sz="2" w:space="0" w:color="000001"/>
            </w:tcBorders>
            <w:shd w:color="auto" w:fill="FFFFFF" w:val="clear"/>
            <w:vAlign w:val="center"/>
          </w:tcPr>
          <w:p>
            <w:pPr>
              <w:pStyle w:val="TableContents"/>
              <w:widowControl w:val="false"/>
              <w:jc w:val="center"/>
              <w:rPr>
                <w:rFonts w:cs="" w:asciiTheme="majorBidi" w:cstheme="majorBidi" w:hAnsiTheme="majorBidi"/>
                <w:color w:val="auto"/>
                <w:sz w:val="26"/>
                <w:szCs w:val="26"/>
              </w:rPr>
            </w:pPr>
            <w:r>
              <w:rPr>
                <w:rFonts w:cs="" w:asciiTheme="majorBidi" w:cstheme="majorBidi" w:hAnsiTheme="majorBidi"/>
                <w:b/>
                <w:bCs/>
                <w:color w:val="auto"/>
                <w:sz w:val="26"/>
                <w:szCs w:val="26"/>
              </w:rPr>
              <w:t>Egypt Export</w:t>
            </w:r>
          </w:p>
          <w:p>
            <w:pPr>
              <w:pStyle w:val="TableContents"/>
              <w:widowControl w:val="false"/>
              <w:jc w:val="center"/>
              <w:rPr>
                <w:rFonts w:cs="" w:asciiTheme="majorBidi" w:cstheme="majorBidi" w:hAnsiTheme="majorBidi"/>
                <w:color w:val="auto"/>
                <w:sz w:val="26"/>
                <w:szCs w:val="26"/>
              </w:rPr>
            </w:pPr>
            <w:r>
              <w:rPr>
                <w:rFonts w:cs="" w:asciiTheme="majorBidi" w:cstheme="majorBidi" w:hAnsiTheme="majorBidi"/>
                <w:b/>
                <w:bCs/>
                <w:color w:val="auto"/>
                <w:sz w:val="26"/>
                <w:szCs w:val="26"/>
              </w:rPr>
              <w:t>(US$ million)</w:t>
            </w:r>
          </w:p>
        </w:tc>
        <w:tc>
          <w:tcPr>
            <w:tcW w:w="2164" w:type="dxa"/>
            <w:tcBorders>
              <w:top w:val="single" w:sz="2" w:space="0" w:color="000001"/>
              <w:left w:val="single" w:sz="2" w:space="0" w:color="000001"/>
              <w:bottom w:val="single" w:sz="2" w:space="0" w:color="000001"/>
            </w:tcBorders>
            <w:shd w:color="auto" w:fill="FFFFFF" w:val="clear"/>
            <w:vAlign w:val="center"/>
          </w:tcPr>
          <w:p>
            <w:pPr>
              <w:pStyle w:val="TableContents"/>
              <w:widowControl w:val="false"/>
              <w:jc w:val="center"/>
              <w:rPr>
                <w:rFonts w:cs="" w:asciiTheme="majorBidi" w:cstheme="majorBidi" w:hAnsiTheme="majorBidi"/>
                <w:color w:val="auto"/>
                <w:sz w:val="26"/>
                <w:szCs w:val="26"/>
              </w:rPr>
            </w:pPr>
            <w:r>
              <w:rPr>
                <w:rFonts w:cs="" w:asciiTheme="majorBidi" w:cstheme="majorBidi" w:hAnsiTheme="majorBidi"/>
                <w:b/>
                <w:bCs/>
                <w:color w:val="auto"/>
                <w:sz w:val="26"/>
                <w:szCs w:val="26"/>
              </w:rPr>
              <w:t>Egypt Import</w:t>
            </w:r>
          </w:p>
          <w:p>
            <w:pPr>
              <w:pStyle w:val="TableContents"/>
              <w:widowControl w:val="false"/>
              <w:jc w:val="center"/>
              <w:rPr>
                <w:rFonts w:cs="" w:asciiTheme="majorBidi" w:cstheme="majorBidi" w:hAnsiTheme="majorBidi"/>
                <w:color w:val="auto"/>
                <w:sz w:val="26"/>
                <w:szCs w:val="26"/>
              </w:rPr>
            </w:pPr>
            <w:r>
              <w:rPr>
                <w:rFonts w:cs="" w:asciiTheme="majorBidi" w:cstheme="majorBidi" w:hAnsiTheme="majorBidi"/>
                <w:b/>
                <w:bCs/>
                <w:color w:val="auto"/>
                <w:sz w:val="26"/>
                <w:szCs w:val="26"/>
              </w:rPr>
              <w:t>(US$ million)</w:t>
            </w:r>
          </w:p>
        </w:tc>
        <w:tc>
          <w:tcPr>
            <w:tcW w:w="2430" w:type="dxa"/>
            <w:tcBorders>
              <w:top w:val="single" w:sz="2" w:space="0" w:color="000001"/>
              <w:left w:val="single" w:sz="2" w:space="0" w:color="000001"/>
              <w:bottom w:val="single" w:sz="2" w:space="0" w:color="000001"/>
              <w:right w:val="single" w:sz="2" w:space="0" w:color="000001"/>
            </w:tcBorders>
            <w:shd w:color="auto" w:fill="FFFFFF" w:val="clear"/>
            <w:vAlign w:val="center"/>
          </w:tcPr>
          <w:p>
            <w:pPr>
              <w:pStyle w:val="TableContents"/>
              <w:widowControl w:val="false"/>
              <w:jc w:val="center"/>
              <w:rPr>
                <w:rFonts w:cs="" w:asciiTheme="majorBidi" w:cstheme="majorBidi" w:hAnsiTheme="majorBidi"/>
                <w:color w:val="auto"/>
                <w:sz w:val="26"/>
                <w:szCs w:val="26"/>
              </w:rPr>
            </w:pPr>
            <w:r>
              <w:rPr>
                <w:rFonts w:cs="" w:asciiTheme="majorBidi" w:cstheme="majorBidi" w:hAnsiTheme="majorBidi"/>
                <w:b/>
                <w:bCs/>
                <w:color w:val="auto"/>
                <w:sz w:val="26"/>
                <w:szCs w:val="26"/>
              </w:rPr>
              <w:t>Status</w:t>
            </w:r>
          </w:p>
          <w:p>
            <w:pPr>
              <w:pStyle w:val="TableContents"/>
              <w:widowControl w:val="false"/>
              <w:jc w:val="center"/>
              <w:rPr>
                <w:rFonts w:cs="" w:asciiTheme="majorBidi" w:cstheme="majorBidi" w:hAnsiTheme="majorBidi"/>
                <w:color w:val="auto"/>
                <w:sz w:val="26"/>
                <w:szCs w:val="26"/>
              </w:rPr>
            </w:pPr>
            <w:r>
              <w:rPr>
                <w:rFonts w:cs="" w:asciiTheme="majorBidi" w:cstheme="majorBidi" w:hAnsiTheme="majorBidi"/>
                <w:b/>
                <w:bCs/>
                <w:color w:val="auto"/>
                <w:sz w:val="26"/>
                <w:szCs w:val="26"/>
              </w:rPr>
              <w:t>(P) Provisional/</w:t>
            </w:r>
          </w:p>
          <w:p>
            <w:pPr>
              <w:pStyle w:val="TableContents"/>
              <w:widowControl w:val="false"/>
              <w:jc w:val="center"/>
              <w:rPr>
                <w:rFonts w:cs="" w:asciiTheme="majorBidi" w:cstheme="majorBidi" w:hAnsiTheme="majorBidi"/>
                <w:color w:val="auto"/>
                <w:sz w:val="26"/>
                <w:szCs w:val="26"/>
              </w:rPr>
            </w:pPr>
            <w:r>
              <w:rPr>
                <w:rFonts w:cs="" w:asciiTheme="majorBidi" w:cstheme="majorBidi" w:hAnsiTheme="majorBidi"/>
                <w:b/>
                <w:bCs/>
                <w:color w:val="auto"/>
                <w:sz w:val="26"/>
                <w:szCs w:val="26"/>
              </w:rPr>
              <w:t>(F) Final</w:t>
            </w:r>
          </w:p>
        </w:tc>
      </w:tr>
      <w:tr>
        <w:trPr/>
        <w:tc>
          <w:tcPr>
            <w:tcW w:w="3418" w:type="dxa"/>
            <w:tcBorders>
              <w:top w:val="single" w:sz="2" w:space="0" w:color="000001"/>
              <w:left w:val="single" w:sz="2" w:space="0" w:color="000001"/>
              <w:bottom w:val="single" w:sz="2" w:space="0" w:color="000001"/>
            </w:tcBorders>
            <w:shd w:color="auto" w:fill="FFFFFF" w:val="clear"/>
            <w:vAlign w:val="center"/>
          </w:tcPr>
          <w:p>
            <w:pPr>
              <w:pStyle w:val="Textbody1"/>
              <w:widowControl w:val="false"/>
              <w:spacing w:before="0" w:after="0"/>
              <w:jc w:val="center"/>
              <w:rPr>
                <w:rFonts w:cs="" w:asciiTheme="majorBidi" w:cstheme="majorBidi" w:hAnsiTheme="majorBidi"/>
                <w:color w:val="auto"/>
                <w:sz w:val="26"/>
                <w:szCs w:val="26"/>
              </w:rPr>
            </w:pPr>
            <w:r>
              <w:rPr>
                <w:rFonts w:cs="" w:asciiTheme="majorBidi" w:cstheme="majorBidi" w:hAnsiTheme="majorBidi"/>
                <w:color w:val="auto"/>
                <w:sz w:val="26"/>
                <w:szCs w:val="26"/>
              </w:rPr>
              <w:t>Egypt’s trade with India</w:t>
            </w:r>
          </w:p>
          <w:p>
            <w:pPr>
              <w:pStyle w:val="Textbody1"/>
              <w:widowControl w:val="false"/>
              <w:spacing w:before="0" w:after="0"/>
              <w:jc w:val="center"/>
              <w:rPr>
                <w:rFonts w:cs="" w:asciiTheme="majorBidi" w:cstheme="majorBidi" w:hAnsiTheme="majorBidi"/>
                <w:color w:val="auto"/>
                <w:sz w:val="26"/>
                <w:szCs w:val="26"/>
              </w:rPr>
            </w:pPr>
            <w:r>
              <w:rPr>
                <w:rFonts w:cs="" w:asciiTheme="majorBidi" w:cstheme="majorBidi" w:hAnsiTheme="majorBidi"/>
                <w:color w:val="auto"/>
                <w:sz w:val="26"/>
                <w:szCs w:val="26"/>
              </w:rPr>
              <w:t>Source: CAPMAS, Egypt</w:t>
            </w:r>
          </w:p>
          <w:p>
            <w:pPr>
              <w:pStyle w:val="Textbody1"/>
              <w:widowControl w:val="false"/>
              <w:spacing w:before="0" w:after="0"/>
              <w:jc w:val="center"/>
              <w:rPr>
                <w:rFonts w:cs="" w:asciiTheme="majorBidi" w:cstheme="majorBidi" w:hAnsiTheme="majorBidi"/>
                <w:color w:val="auto"/>
                <w:sz w:val="26"/>
                <w:szCs w:val="26"/>
              </w:rPr>
            </w:pPr>
            <w:r>
              <w:rPr>
                <w:rFonts w:cs="" w:asciiTheme="majorBidi" w:cstheme="majorBidi" w:hAnsiTheme="majorBidi"/>
                <w:color w:val="auto"/>
                <w:sz w:val="26"/>
                <w:szCs w:val="26"/>
              </w:rPr>
              <w:t>Data for the Month: May 2024</w:t>
            </w:r>
          </w:p>
        </w:tc>
        <w:tc>
          <w:tcPr>
            <w:tcW w:w="2067" w:type="dxa"/>
            <w:tcBorders>
              <w:top w:val="single" w:sz="2" w:space="0" w:color="000001"/>
              <w:left w:val="single" w:sz="2" w:space="0" w:color="000001"/>
              <w:bottom w:val="single" w:sz="2" w:space="0" w:color="000001"/>
            </w:tcBorders>
            <w:shd w:color="auto" w:fill="FFFFFF" w:val="clear"/>
            <w:vAlign w:val="center"/>
          </w:tcPr>
          <w:p>
            <w:pPr>
              <w:pStyle w:val="Standard"/>
              <w:widowControl w:val="false"/>
              <w:spacing w:before="0" w:after="200"/>
              <w:jc w:val="center"/>
              <w:rPr>
                <w:rFonts w:cs="" w:asciiTheme="majorBidi" w:cstheme="majorBidi" w:hAnsiTheme="majorBidi"/>
                <w:color w:val="auto"/>
                <w:sz w:val="26"/>
                <w:szCs w:val="26"/>
                <w:lang w:bidi="ar-EG"/>
              </w:rPr>
            </w:pPr>
            <w:r>
              <w:rPr>
                <w:rFonts w:cs="" w:asciiTheme="majorBidi" w:cstheme="majorBidi" w:hAnsiTheme="majorBidi"/>
                <w:color w:val="auto"/>
                <w:sz w:val="26"/>
                <w:szCs w:val="26"/>
              </w:rPr>
              <w:t>25.73 million</w:t>
            </w:r>
          </w:p>
        </w:tc>
        <w:tc>
          <w:tcPr>
            <w:tcW w:w="2164" w:type="dxa"/>
            <w:tcBorders>
              <w:top w:val="single" w:sz="2" w:space="0" w:color="000001"/>
              <w:left w:val="single" w:sz="2" w:space="0" w:color="000001"/>
              <w:bottom w:val="single" w:sz="2" w:space="0" w:color="000001"/>
            </w:tcBorders>
            <w:shd w:color="auto" w:fill="FFFFFF" w:val="clear"/>
            <w:vAlign w:val="center"/>
          </w:tcPr>
          <w:p>
            <w:pPr>
              <w:pStyle w:val="Standard"/>
              <w:widowControl w:val="false"/>
              <w:spacing w:before="0" w:after="200"/>
              <w:jc w:val="center"/>
              <w:rPr>
                <w:rFonts w:cs="" w:asciiTheme="majorBidi" w:cstheme="majorBidi" w:hAnsiTheme="majorBidi"/>
                <w:color w:val="auto"/>
                <w:sz w:val="26"/>
                <w:szCs w:val="26"/>
                <w:lang w:bidi="ar-EG"/>
              </w:rPr>
            </w:pPr>
            <w:r>
              <w:rPr>
                <w:rFonts w:cs="" w:asciiTheme="majorBidi" w:cstheme="majorBidi" w:hAnsiTheme="majorBidi"/>
                <w:color w:val="auto"/>
                <w:sz w:val="26"/>
                <w:szCs w:val="26"/>
              </w:rPr>
              <w:t>100.80 million</w:t>
            </w:r>
          </w:p>
        </w:tc>
        <w:tc>
          <w:tcPr>
            <w:tcW w:w="2430" w:type="dxa"/>
            <w:tcBorders>
              <w:top w:val="single" w:sz="2" w:space="0" w:color="000001"/>
              <w:left w:val="single" w:sz="2" w:space="0" w:color="000001"/>
              <w:bottom w:val="single" w:sz="2" w:space="0" w:color="000001"/>
              <w:right w:val="single" w:sz="2" w:space="0" w:color="000001"/>
            </w:tcBorders>
            <w:shd w:color="auto" w:fill="FFFFFF" w:val="clear"/>
            <w:vAlign w:val="center"/>
          </w:tcPr>
          <w:p>
            <w:pPr>
              <w:pStyle w:val="TableContents"/>
              <w:widowControl w:val="false"/>
              <w:jc w:val="center"/>
              <w:rPr>
                <w:rFonts w:cs="" w:asciiTheme="majorBidi" w:cstheme="majorBidi" w:hAnsiTheme="majorBidi"/>
                <w:color w:val="auto"/>
                <w:sz w:val="26"/>
                <w:szCs w:val="26"/>
              </w:rPr>
            </w:pPr>
            <w:r>
              <w:rPr>
                <w:rFonts w:cs="" w:asciiTheme="majorBidi" w:cstheme="majorBidi" w:hAnsiTheme="majorBidi"/>
                <w:color w:val="auto"/>
                <w:sz w:val="26"/>
                <w:szCs w:val="26"/>
              </w:rPr>
              <w:t>Final</w:t>
            </w:r>
          </w:p>
        </w:tc>
      </w:tr>
      <w:tr>
        <w:trPr/>
        <w:tc>
          <w:tcPr>
            <w:tcW w:w="3418" w:type="dxa"/>
            <w:tcBorders>
              <w:top w:val="single" w:sz="2" w:space="0" w:color="000001"/>
              <w:left w:val="single" w:sz="2" w:space="0" w:color="000001"/>
              <w:bottom w:val="single" w:sz="2" w:space="0" w:color="000001"/>
            </w:tcBorders>
            <w:shd w:color="auto" w:fill="FFFFFF" w:val="clear"/>
            <w:vAlign w:val="center"/>
          </w:tcPr>
          <w:p>
            <w:pPr>
              <w:pStyle w:val="Textbody1"/>
              <w:widowControl w:val="false"/>
              <w:spacing w:before="0" w:after="0"/>
              <w:jc w:val="center"/>
              <w:rPr>
                <w:rFonts w:cs="" w:asciiTheme="majorBidi" w:cstheme="majorBidi" w:hAnsiTheme="majorBidi"/>
                <w:color w:val="auto"/>
                <w:sz w:val="26"/>
                <w:szCs w:val="26"/>
              </w:rPr>
            </w:pPr>
            <w:r>
              <w:rPr>
                <w:rFonts w:cs="" w:asciiTheme="majorBidi" w:cstheme="majorBidi" w:hAnsiTheme="majorBidi"/>
                <w:color w:val="auto"/>
                <w:sz w:val="26"/>
                <w:szCs w:val="26"/>
              </w:rPr>
              <w:t>Egypt's total global trade</w:t>
            </w:r>
          </w:p>
          <w:p>
            <w:pPr>
              <w:pStyle w:val="Textbody1"/>
              <w:widowControl w:val="false"/>
              <w:spacing w:before="0" w:after="0"/>
              <w:jc w:val="center"/>
              <w:rPr>
                <w:rFonts w:cs="" w:asciiTheme="majorBidi" w:cstheme="majorBidi" w:hAnsiTheme="majorBidi"/>
                <w:color w:val="auto"/>
                <w:sz w:val="26"/>
                <w:szCs w:val="26"/>
              </w:rPr>
            </w:pPr>
            <w:r>
              <w:rPr>
                <w:rFonts w:cs="" w:asciiTheme="majorBidi" w:cstheme="majorBidi" w:hAnsiTheme="majorBidi"/>
                <w:color w:val="auto"/>
                <w:sz w:val="26"/>
                <w:szCs w:val="26"/>
              </w:rPr>
              <w:t>Source: CAPMAS, Egypt</w:t>
            </w:r>
          </w:p>
          <w:p>
            <w:pPr>
              <w:pStyle w:val="Textbody1"/>
              <w:widowControl w:val="false"/>
              <w:spacing w:before="0" w:after="0"/>
              <w:jc w:val="center"/>
              <w:rPr>
                <w:rFonts w:cs="" w:asciiTheme="majorBidi" w:cstheme="majorBidi" w:hAnsiTheme="majorBidi"/>
                <w:color w:val="auto"/>
                <w:sz w:val="26"/>
                <w:szCs w:val="26"/>
              </w:rPr>
            </w:pPr>
            <w:r>
              <w:rPr>
                <w:rFonts w:cs="" w:asciiTheme="majorBidi" w:cstheme="majorBidi" w:hAnsiTheme="majorBidi"/>
                <w:color w:val="auto"/>
                <w:sz w:val="26"/>
                <w:szCs w:val="26"/>
              </w:rPr>
              <w:t>Data for the Month: May 2024</w:t>
            </w:r>
          </w:p>
        </w:tc>
        <w:tc>
          <w:tcPr>
            <w:tcW w:w="2067" w:type="dxa"/>
            <w:tcBorders>
              <w:top w:val="single" w:sz="2" w:space="0" w:color="000001"/>
              <w:left w:val="single" w:sz="2" w:space="0" w:color="000001"/>
              <w:bottom w:val="single" w:sz="2" w:space="0" w:color="000001"/>
            </w:tcBorders>
            <w:shd w:color="auto" w:fill="FFFFFF" w:val="clear"/>
            <w:vAlign w:val="center"/>
          </w:tcPr>
          <w:p>
            <w:pPr>
              <w:pStyle w:val="Standard"/>
              <w:widowControl w:val="false"/>
              <w:spacing w:before="0" w:after="200"/>
              <w:jc w:val="center"/>
              <w:rPr>
                <w:rFonts w:cs="" w:asciiTheme="majorBidi" w:cstheme="majorBidi" w:hAnsiTheme="majorBidi"/>
                <w:color w:val="auto"/>
                <w:sz w:val="26"/>
                <w:szCs w:val="26"/>
                <w:shd w:fill="FFFFFF" w:val="clear"/>
              </w:rPr>
            </w:pPr>
            <w:r>
              <w:rPr>
                <w:rFonts w:cs="" w:asciiTheme="majorBidi" w:cstheme="majorBidi" w:hAnsiTheme="majorBidi"/>
                <w:color w:val="000000"/>
                <w:sz w:val="26"/>
                <w:szCs w:val="26"/>
                <w:shd w:fill="FFFFFF" w:val="clear"/>
              </w:rPr>
              <w:t xml:space="preserve">3456 </w:t>
            </w:r>
            <w:r>
              <w:rPr>
                <w:rFonts w:cs="" w:asciiTheme="majorBidi" w:cstheme="majorBidi" w:hAnsiTheme="majorBidi"/>
                <w:color w:val="auto"/>
                <w:sz w:val="26"/>
                <w:szCs w:val="26"/>
              </w:rPr>
              <w:t>million</w:t>
            </w:r>
          </w:p>
        </w:tc>
        <w:tc>
          <w:tcPr>
            <w:tcW w:w="2164" w:type="dxa"/>
            <w:tcBorders>
              <w:top w:val="single" w:sz="2" w:space="0" w:color="000001"/>
              <w:left w:val="single" w:sz="2" w:space="0" w:color="000001"/>
              <w:bottom w:val="single" w:sz="2" w:space="0" w:color="000001"/>
            </w:tcBorders>
            <w:shd w:color="auto" w:fill="FFFFFF" w:val="clear"/>
            <w:vAlign w:val="center"/>
          </w:tcPr>
          <w:p>
            <w:pPr>
              <w:pStyle w:val="Normal"/>
              <w:widowControl w:val="false"/>
              <w:suppressAutoHyphens w:val="false"/>
              <w:spacing w:lineRule="atLeast" w:line="450"/>
              <w:jc w:val="center"/>
              <w:rPr>
                <w:rFonts w:cs="" w:asciiTheme="majorBidi" w:cstheme="majorBidi" w:hAnsiTheme="majorBidi"/>
                <w:sz w:val="26"/>
                <w:szCs w:val="26"/>
              </w:rPr>
            </w:pPr>
            <w:r>
              <w:rPr>
                <w:rFonts w:cs="" w:asciiTheme="majorBidi" w:cstheme="majorBidi" w:hAnsiTheme="majorBidi"/>
                <w:sz w:val="26"/>
                <w:szCs w:val="26"/>
              </w:rPr>
              <w:t>5545 million</w:t>
            </w:r>
          </w:p>
        </w:tc>
        <w:tc>
          <w:tcPr>
            <w:tcW w:w="2430" w:type="dxa"/>
            <w:tcBorders>
              <w:top w:val="single" w:sz="2" w:space="0" w:color="000001"/>
              <w:left w:val="single" w:sz="2" w:space="0" w:color="000001"/>
              <w:bottom w:val="single" w:sz="2" w:space="0" w:color="000001"/>
              <w:right w:val="single" w:sz="2" w:space="0" w:color="000001"/>
            </w:tcBorders>
            <w:shd w:color="auto" w:fill="FFFFFF" w:val="clear"/>
            <w:vAlign w:val="center"/>
          </w:tcPr>
          <w:p>
            <w:pPr>
              <w:pStyle w:val="TableContents"/>
              <w:widowControl w:val="false"/>
              <w:jc w:val="center"/>
              <w:rPr>
                <w:rFonts w:cs="" w:asciiTheme="majorBidi" w:cstheme="majorBidi" w:hAnsiTheme="majorBidi"/>
                <w:color w:val="auto"/>
                <w:sz w:val="26"/>
                <w:szCs w:val="26"/>
              </w:rPr>
            </w:pPr>
            <w:r>
              <w:rPr>
                <w:rFonts w:cs="" w:asciiTheme="majorBidi" w:cstheme="majorBidi" w:hAnsiTheme="majorBidi"/>
                <w:color w:val="auto"/>
                <w:sz w:val="26"/>
                <w:szCs w:val="26"/>
              </w:rPr>
              <w:t>Final</w:t>
            </w:r>
          </w:p>
        </w:tc>
      </w:tr>
    </w:tbl>
    <w:p>
      <w:pPr>
        <w:pStyle w:val="Textbody1"/>
        <w:spacing w:before="0" w:after="0"/>
        <w:rPr>
          <w:rFonts w:cs="" w:asciiTheme="majorBidi" w:cstheme="majorBidi" w:hAnsiTheme="majorBidi"/>
          <w:color w:val="auto"/>
          <w:sz w:val="26"/>
          <w:szCs w:val="26"/>
        </w:rPr>
      </w:pPr>
      <w:r>
        <w:rPr>
          <w:rFonts w:cs="" w:asciiTheme="majorBidi" w:cstheme="majorBidi" w:hAnsiTheme="majorBidi"/>
          <w:color w:val="auto"/>
          <w:sz w:val="26"/>
          <w:szCs w:val="26"/>
        </w:rPr>
      </w:r>
    </w:p>
    <w:p>
      <w:pPr>
        <w:pStyle w:val="Textbody1"/>
        <w:spacing w:before="0" w:after="0"/>
        <w:rPr>
          <w:rFonts w:cs="" w:asciiTheme="majorBidi" w:cstheme="majorBidi" w:hAnsiTheme="majorBidi"/>
          <w:color w:val="auto"/>
          <w:sz w:val="26"/>
          <w:szCs w:val="26"/>
        </w:rPr>
      </w:pPr>
      <w:r>
        <w:rPr>
          <w:rFonts w:cs="" w:asciiTheme="majorBidi" w:cstheme="majorBidi" w:hAnsiTheme="majorBidi"/>
          <w:color w:val="auto"/>
          <w:sz w:val="26"/>
          <w:szCs w:val="26"/>
        </w:rPr>
      </w:r>
    </w:p>
    <w:p>
      <w:pPr>
        <w:pStyle w:val="Textbody1"/>
        <w:spacing w:before="0" w:after="0"/>
        <w:rPr>
          <w:rFonts w:cs="" w:asciiTheme="majorBidi" w:cstheme="majorBidi" w:hAnsiTheme="majorBidi"/>
          <w:color w:val="auto"/>
          <w:sz w:val="26"/>
          <w:szCs w:val="26"/>
        </w:rPr>
      </w:pPr>
      <w:r>
        <w:rPr>
          <w:rFonts w:cs="" w:asciiTheme="majorBidi" w:cstheme="majorBidi" w:hAnsiTheme="majorBidi"/>
          <w:color w:val="auto"/>
          <w:sz w:val="26"/>
          <w:szCs w:val="26"/>
        </w:rPr>
        <w:t xml:space="preserve">b) </w:t>
        <w:tab/>
        <w:t xml:space="preserve">Preferential trade in goods during </w:t>
      </w:r>
      <w:r>
        <w:rPr>
          <w:rFonts w:cs="" w:asciiTheme="majorBidi" w:cstheme="majorBidi" w:hAnsiTheme="majorBidi"/>
          <w:b/>
          <w:bCs/>
          <w:color w:val="auto"/>
          <w:sz w:val="26"/>
          <w:szCs w:val="26"/>
          <w:u w:val="single"/>
        </w:rPr>
        <w:t>June 2024</w:t>
      </w:r>
    </w:p>
    <w:p>
      <w:pPr>
        <w:pStyle w:val="Textbody1"/>
        <w:spacing w:before="0" w:after="0"/>
        <w:rPr>
          <w:rFonts w:cs="" w:asciiTheme="majorBidi" w:cstheme="majorBidi" w:hAnsiTheme="majorBidi"/>
          <w:color w:val="auto"/>
          <w:sz w:val="26"/>
          <w:szCs w:val="26"/>
        </w:rPr>
      </w:pPr>
      <w:r>
        <w:rPr>
          <w:rFonts w:cs="" w:asciiTheme="majorBidi" w:cstheme="majorBidi" w:hAnsiTheme="majorBidi"/>
          <w:color w:val="auto"/>
          <w:sz w:val="26"/>
          <w:szCs w:val="26"/>
        </w:rPr>
      </w:r>
    </w:p>
    <w:tbl>
      <w:tblPr>
        <w:tblW w:w="10080" w:type="dxa"/>
        <w:jc w:val="left"/>
        <w:tblInd w:w="3" w:type="dxa"/>
        <w:tblLayout w:type="fixed"/>
        <w:tblCellMar>
          <w:top w:w="55" w:type="dxa"/>
          <w:left w:w="36" w:type="dxa"/>
          <w:bottom w:w="55" w:type="dxa"/>
          <w:right w:w="55" w:type="dxa"/>
        </w:tblCellMar>
        <w:tblLook w:val="0000" w:noHBand="0" w:noVBand="0" w:firstColumn="0" w:lastRow="0" w:lastColumn="0" w:firstRow="0"/>
      </w:tblPr>
      <w:tblGrid>
        <w:gridCol w:w="905"/>
        <w:gridCol w:w="2780"/>
        <w:gridCol w:w="2796"/>
        <w:gridCol w:w="3598"/>
      </w:tblGrid>
      <w:tr>
        <w:trPr/>
        <w:tc>
          <w:tcPr>
            <w:tcW w:w="905" w:type="dxa"/>
            <w:tcBorders>
              <w:top w:val="single" w:sz="2" w:space="0" w:color="000001"/>
              <w:left w:val="single" w:sz="2" w:space="0" w:color="000001"/>
              <w:bottom w:val="single" w:sz="2" w:space="0" w:color="000001"/>
            </w:tcBorders>
            <w:shd w:color="auto" w:fill="FFFFFF" w:val="clear"/>
          </w:tcPr>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Sl. No.</w:t>
            </w:r>
          </w:p>
        </w:tc>
        <w:tc>
          <w:tcPr>
            <w:tcW w:w="2780" w:type="dxa"/>
            <w:tcBorders>
              <w:top w:val="single" w:sz="2" w:space="0" w:color="000001"/>
              <w:left w:val="single" w:sz="2" w:space="0" w:color="000001"/>
              <w:bottom w:val="single" w:sz="2" w:space="0" w:color="000001"/>
            </w:tcBorders>
            <w:shd w:color="auto" w:fill="FFFFFF" w:val="clear"/>
          </w:tcPr>
          <w:p>
            <w:pPr>
              <w:pStyle w:val="Textbody1"/>
              <w:widowControl w:val="false"/>
              <w:spacing w:before="0" w:after="0"/>
              <w:jc w:val="center"/>
              <w:rPr>
                <w:rFonts w:cs="" w:asciiTheme="majorBidi" w:cstheme="majorBidi" w:hAnsiTheme="majorBidi"/>
                <w:color w:val="auto"/>
                <w:sz w:val="26"/>
                <w:szCs w:val="26"/>
              </w:rPr>
            </w:pPr>
            <w:r>
              <w:rPr>
                <w:rFonts w:cs="" w:asciiTheme="majorBidi" w:cstheme="majorBidi" w:hAnsiTheme="majorBidi"/>
                <w:color w:val="auto"/>
                <w:sz w:val="26"/>
                <w:szCs w:val="26"/>
              </w:rPr>
              <w:t>Preferential / Free Trade</w:t>
            </w:r>
          </w:p>
          <w:p>
            <w:pPr>
              <w:pStyle w:val="Textbody1"/>
              <w:widowControl w:val="false"/>
              <w:spacing w:before="0" w:after="0"/>
              <w:jc w:val="center"/>
              <w:rPr>
                <w:rFonts w:cs="" w:asciiTheme="majorBidi" w:cstheme="majorBidi" w:hAnsiTheme="majorBidi"/>
                <w:color w:val="auto"/>
                <w:sz w:val="26"/>
                <w:szCs w:val="26"/>
              </w:rPr>
            </w:pPr>
            <w:r>
              <w:rPr>
                <w:rFonts w:cs="" w:asciiTheme="majorBidi" w:cstheme="majorBidi" w:hAnsiTheme="majorBidi"/>
                <w:color w:val="auto"/>
                <w:sz w:val="26"/>
                <w:szCs w:val="26"/>
              </w:rPr>
              <w:t>Agreement with India</w:t>
            </w:r>
          </w:p>
        </w:tc>
        <w:tc>
          <w:tcPr>
            <w:tcW w:w="2796" w:type="dxa"/>
            <w:tcBorders>
              <w:top w:val="single" w:sz="2" w:space="0" w:color="000001"/>
              <w:left w:val="single" w:sz="2" w:space="0" w:color="000001"/>
              <w:bottom w:val="single" w:sz="2" w:space="0" w:color="000001"/>
            </w:tcBorders>
            <w:shd w:color="auto" w:fill="FFFFFF" w:val="clear"/>
          </w:tcPr>
          <w:p>
            <w:pPr>
              <w:pStyle w:val="Textbody1"/>
              <w:widowControl w:val="false"/>
              <w:spacing w:before="0" w:after="0"/>
              <w:jc w:val="center"/>
              <w:rPr>
                <w:rFonts w:cs="" w:asciiTheme="majorBidi" w:cstheme="majorBidi" w:hAnsiTheme="majorBidi"/>
                <w:color w:val="auto"/>
                <w:sz w:val="26"/>
                <w:szCs w:val="26"/>
              </w:rPr>
            </w:pPr>
            <w:r>
              <w:rPr>
                <w:rFonts w:cs="" w:asciiTheme="majorBidi" w:cstheme="majorBidi" w:hAnsiTheme="majorBidi"/>
                <w:color w:val="auto"/>
                <w:sz w:val="26"/>
                <w:szCs w:val="26"/>
              </w:rPr>
              <w:t>Preferential Imports from India (US$ million)</w:t>
            </w:r>
          </w:p>
        </w:tc>
        <w:tc>
          <w:tcPr>
            <w:tcW w:w="3598" w:type="dxa"/>
            <w:tcBorders>
              <w:top w:val="single" w:sz="2" w:space="0" w:color="000001"/>
              <w:left w:val="single" w:sz="2" w:space="0" w:color="000001"/>
              <w:bottom w:val="single" w:sz="2" w:space="0" w:color="000001"/>
              <w:right w:val="single" w:sz="2" w:space="0" w:color="000001"/>
            </w:tcBorders>
            <w:shd w:color="auto" w:fill="FFFFFF" w:val="clear"/>
          </w:tcPr>
          <w:p>
            <w:pPr>
              <w:pStyle w:val="TableContents"/>
              <w:widowControl w:val="false"/>
              <w:jc w:val="center"/>
              <w:rPr>
                <w:rFonts w:cs="" w:asciiTheme="majorBidi" w:cstheme="majorBidi" w:hAnsiTheme="majorBidi"/>
                <w:color w:val="auto"/>
                <w:sz w:val="26"/>
                <w:szCs w:val="26"/>
              </w:rPr>
            </w:pPr>
            <w:r>
              <w:rPr>
                <w:rFonts w:cs="" w:asciiTheme="majorBidi" w:cstheme="majorBidi" w:hAnsiTheme="majorBidi"/>
                <w:color w:val="auto"/>
                <w:sz w:val="26"/>
                <w:szCs w:val="26"/>
              </w:rPr>
              <w:t>Preferential Imports from Egypt (US$ million)</w:t>
            </w:r>
          </w:p>
        </w:tc>
      </w:tr>
      <w:tr>
        <w:trPr/>
        <w:tc>
          <w:tcPr>
            <w:tcW w:w="10079" w:type="dxa"/>
            <w:gridSpan w:val="4"/>
            <w:tcBorders>
              <w:top w:val="single" w:sz="2" w:space="0" w:color="000001"/>
              <w:left w:val="single" w:sz="2" w:space="0" w:color="000001"/>
              <w:bottom w:val="single" w:sz="2" w:space="0" w:color="000001"/>
              <w:right w:val="single" w:sz="2" w:space="0" w:color="000001"/>
            </w:tcBorders>
            <w:shd w:color="auto" w:fill="FFFFFF" w:val="clear"/>
          </w:tcPr>
          <w:p>
            <w:pPr>
              <w:pStyle w:val="TableContents"/>
              <w:widowControl w:val="false"/>
              <w:jc w:val="center"/>
              <w:rPr>
                <w:rFonts w:cs="" w:asciiTheme="majorBidi" w:cstheme="majorBidi" w:hAnsiTheme="majorBidi"/>
                <w:color w:val="auto"/>
                <w:sz w:val="26"/>
                <w:szCs w:val="26"/>
              </w:rPr>
            </w:pPr>
            <w:r>
              <w:rPr>
                <w:rFonts w:cs="" w:asciiTheme="majorBidi" w:cstheme="majorBidi" w:hAnsiTheme="majorBidi"/>
                <w:color w:val="auto"/>
                <w:sz w:val="26"/>
                <w:szCs w:val="26"/>
              </w:rPr>
              <w:t>NA</w:t>
            </w:r>
          </w:p>
        </w:tc>
      </w:tr>
    </w:tbl>
    <w:p>
      <w:pPr>
        <w:pStyle w:val="Standard"/>
        <w:spacing w:before="0" w:after="0"/>
        <w:rPr>
          <w:rFonts w:cs="" w:asciiTheme="majorBidi" w:cstheme="majorBidi" w:hAnsiTheme="majorBidi"/>
          <w:color w:val="auto"/>
          <w:sz w:val="26"/>
          <w:szCs w:val="26"/>
        </w:rPr>
      </w:pPr>
      <w:r>
        <w:rPr>
          <w:rFonts w:cs="" w:asciiTheme="majorBidi" w:cstheme="majorBidi" w:hAnsiTheme="majorBidi"/>
          <w:b/>
          <w:bCs/>
          <w:color w:val="auto"/>
          <w:sz w:val="26"/>
          <w:szCs w:val="26"/>
        </w:rPr>
        <w:t>(Source: Customs/National Trade Statistics of reporting country)</w:t>
      </w:r>
    </w:p>
    <w:p>
      <w:pPr>
        <w:pStyle w:val="Standard"/>
        <w:spacing w:before="0" w:after="0"/>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Standard"/>
        <w:spacing w:before="0" w:after="0"/>
        <w:rPr>
          <w:rFonts w:cs="" w:asciiTheme="majorBidi" w:cstheme="majorBidi" w:hAnsiTheme="majorBidi"/>
          <w:b/>
          <w:bCs/>
          <w:color w:val="auto"/>
          <w:sz w:val="26"/>
          <w:szCs w:val="26"/>
        </w:rPr>
      </w:pPr>
      <w:r>
        <w:rPr>
          <w:rFonts w:cs="" w:asciiTheme="majorBidi" w:cstheme="majorBidi" w:hAnsiTheme="majorBidi"/>
          <w:b/>
          <w:bCs/>
          <w:color w:val="auto"/>
          <w:sz w:val="26"/>
          <w:szCs w:val="26"/>
        </w:rPr>
      </w:r>
    </w:p>
    <w:tbl>
      <w:tblPr>
        <w:tblW w:w="10080" w:type="dxa"/>
        <w:jc w:val="left"/>
        <w:tblInd w:w="3" w:type="dxa"/>
        <w:tblLayout w:type="fixed"/>
        <w:tblCellMar>
          <w:top w:w="55" w:type="dxa"/>
          <w:left w:w="36" w:type="dxa"/>
          <w:bottom w:w="55" w:type="dxa"/>
          <w:right w:w="55" w:type="dxa"/>
        </w:tblCellMar>
        <w:tblLook w:val="0000" w:noHBand="0" w:noVBand="0" w:firstColumn="0" w:lastRow="0" w:lastColumn="0" w:firstRow="0"/>
      </w:tblPr>
      <w:tblGrid>
        <w:gridCol w:w="905"/>
        <w:gridCol w:w="2780"/>
        <w:gridCol w:w="2796"/>
        <w:gridCol w:w="3598"/>
      </w:tblGrid>
      <w:tr>
        <w:trPr/>
        <w:tc>
          <w:tcPr>
            <w:tcW w:w="905" w:type="dxa"/>
            <w:tcBorders>
              <w:top w:val="single" w:sz="2" w:space="0" w:color="000001"/>
              <w:left w:val="single" w:sz="2" w:space="0" w:color="000001"/>
              <w:bottom w:val="single" w:sz="2" w:space="0" w:color="000001"/>
            </w:tcBorders>
            <w:shd w:color="auto" w:fill="FFFFFF" w:val="clear"/>
          </w:tcPr>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Sl. No.</w:t>
            </w:r>
          </w:p>
        </w:tc>
        <w:tc>
          <w:tcPr>
            <w:tcW w:w="2780" w:type="dxa"/>
            <w:tcBorders>
              <w:top w:val="single" w:sz="2" w:space="0" w:color="000001"/>
              <w:left w:val="single" w:sz="2" w:space="0" w:color="000001"/>
              <w:bottom w:val="single" w:sz="2" w:space="0" w:color="000001"/>
            </w:tcBorders>
            <w:shd w:color="auto" w:fill="FFFFFF" w:val="clear"/>
          </w:tcPr>
          <w:p>
            <w:pPr>
              <w:pStyle w:val="Textbody1"/>
              <w:widowControl w:val="false"/>
              <w:spacing w:before="0" w:after="0"/>
              <w:jc w:val="center"/>
              <w:rPr>
                <w:rFonts w:cs="" w:asciiTheme="majorBidi" w:cstheme="majorBidi" w:hAnsiTheme="majorBidi"/>
                <w:color w:val="auto"/>
                <w:sz w:val="26"/>
                <w:szCs w:val="26"/>
              </w:rPr>
            </w:pPr>
            <w:r>
              <w:rPr>
                <w:rFonts w:cs="" w:asciiTheme="majorBidi" w:cstheme="majorBidi" w:hAnsiTheme="majorBidi"/>
                <w:color w:val="auto"/>
                <w:sz w:val="26"/>
                <w:szCs w:val="26"/>
              </w:rPr>
              <w:t>Preferential / Free Trade</w:t>
            </w:r>
          </w:p>
          <w:p>
            <w:pPr>
              <w:pStyle w:val="Textbody1"/>
              <w:widowControl w:val="false"/>
              <w:spacing w:before="0" w:after="0"/>
              <w:jc w:val="center"/>
              <w:rPr>
                <w:rFonts w:cs="" w:asciiTheme="majorBidi" w:cstheme="majorBidi" w:hAnsiTheme="majorBidi"/>
                <w:color w:val="auto"/>
                <w:sz w:val="26"/>
                <w:szCs w:val="26"/>
              </w:rPr>
            </w:pPr>
            <w:r>
              <w:rPr>
                <w:rFonts w:cs="" w:asciiTheme="majorBidi" w:cstheme="majorBidi" w:hAnsiTheme="majorBidi"/>
                <w:color w:val="auto"/>
                <w:sz w:val="26"/>
                <w:szCs w:val="26"/>
              </w:rPr>
              <w:t>Agreement with India</w:t>
            </w:r>
          </w:p>
        </w:tc>
        <w:tc>
          <w:tcPr>
            <w:tcW w:w="2796" w:type="dxa"/>
            <w:tcBorders>
              <w:top w:val="single" w:sz="2" w:space="0" w:color="000001"/>
              <w:left w:val="single" w:sz="2" w:space="0" w:color="000001"/>
              <w:bottom w:val="single" w:sz="2" w:space="0" w:color="000001"/>
            </w:tcBorders>
            <w:shd w:color="auto" w:fill="FFFFFF" w:val="clear"/>
          </w:tcPr>
          <w:p>
            <w:pPr>
              <w:pStyle w:val="Textbody1"/>
              <w:widowControl w:val="false"/>
              <w:spacing w:before="0" w:after="0"/>
              <w:jc w:val="center"/>
              <w:rPr>
                <w:rFonts w:cs="" w:asciiTheme="majorBidi" w:cstheme="majorBidi" w:hAnsiTheme="majorBidi"/>
                <w:color w:val="auto"/>
                <w:sz w:val="26"/>
                <w:szCs w:val="26"/>
              </w:rPr>
            </w:pPr>
            <w:r>
              <w:rPr>
                <w:rFonts w:cs="" w:asciiTheme="majorBidi" w:cstheme="majorBidi" w:hAnsiTheme="majorBidi"/>
                <w:color w:val="auto"/>
                <w:sz w:val="26"/>
                <w:szCs w:val="26"/>
              </w:rPr>
              <w:t>Preferential Exports to India (US$ million)</w:t>
            </w:r>
          </w:p>
        </w:tc>
        <w:tc>
          <w:tcPr>
            <w:tcW w:w="3598" w:type="dxa"/>
            <w:tcBorders>
              <w:top w:val="single" w:sz="2" w:space="0" w:color="000001"/>
              <w:left w:val="single" w:sz="2" w:space="0" w:color="000001"/>
              <w:bottom w:val="single" w:sz="2" w:space="0" w:color="000001"/>
              <w:right w:val="single" w:sz="2" w:space="0" w:color="000001"/>
            </w:tcBorders>
            <w:shd w:color="auto" w:fill="FFFFFF" w:val="clear"/>
          </w:tcPr>
          <w:p>
            <w:pPr>
              <w:pStyle w:val="TableContents"/>
              <w:widowControl w:val="false"/>
              <w:jc w:val="center"/>
              <w:rPr>
                <w:rFonts w:cs="" w:asciiTheme="majorBidi" w:cstheme="majorBidi" w:hAnsiTheme="majorBidi"/>
                <w:color w:val="auto"/>
                <w:sz w:val="26"/>
                <w:szCs w:val="26"/>
              </w:rPr>
            </w:pPr>
            <w:r>
              <w:rPr>
                <w:rFonts w:cs="" w:asciiTheme="majorBidi" w:cstheme="majorBidi" w:hAnsiTheme="majorBidi"/>
                <w:color w:val="auto"/>
                <w:sz w:val="26"/>
                <w:szCs w:val="26"/>
              </w:rPr>
              <w:t>Preferential Exports to Egypt (US$ million)</w:t>
            </w:r>
          </w:p>
        </w:tc>
      </w:tr>
      <w:tr>
        <w:trPr/>
        <w:tc>
          <w:tcPr>
            <w:tcW w:w="10079" w:type="dxa"/>
            <w:gridSpan w:val="4"/>
            <w:tcBorders>
              <w:top w:val="single" w:sz="2" w:space="0" w:color="000001"/>
              <w:left w:val="single" w:sz="2" w:space="0" w:color="000001"/>
              <w:bottom w:val="single" w:sz="2" w:space="0" w:color="000001"/>
              <w:right w:val="single" w:sz="2" w:space="0" w:color="000001"/>
            </w:tcBorders>
            <w:shd w:color="auto" w:fill="FFFFFF" w:val="clear"/>
          </w:tcPr>
          <w:p>
            <w:pPr>
              <w:pStyle w:val="Textbody1"/>
              <w:widowControl w:val="false"/>
              <w:spacing w:before="0" w:after="0"/>
              <w:jc w:val="center"/>
              <w:rPr>
                <w:rFonts w:cs="" w:asciiTheme="majorBidi" w:cstheme="majorBidi" w:hAnsiTheme="majorBidi"/>
                <w:color w:val="auto"/>
                <w:sz w:val="26"/>
                <w:szCs w:val="26"/>
              </w:rPr>
            </w:pPr>
            <w:r>
              <w:rPr>
                <w:rFonts w:cs="" w:asciiTheme="majorBidi" w:cstheme="majorBidi" w:hAnsiTheme="majorBidi"/>
                <w:color w:val="auto"/>
                <w:sz w:val="26"/>
                <w:szCs w:val="26"/>
              </w:rPr>
              <w:t>NA</w:t>
            </w:r>
          </w:p>
        </w:tc>
      </w:tr>
    </w:tbl>
    <w:p>
      <w:pPr>
        <w:pStyle w:val="Standard"/>
        <w:spacing w:before="0" w:after="0"/>
        <w:rPr>
          <w:rFonts w:cs="" w:asciiTheme="majorBidi" w:cstheme="majorBidi" w:hAnsiTheme="majorBidi"/>
          <w:color w:val="auto"/>
          <w:sz w:val="26"/>
          <w:szCs w:val="26"/>
        </w:rPr>
      </w:pPr>
      <w:r>
        <w:rPr>
          <w:rFonts w:cs="" w:asciiTheme="majorBidi" w:cstheme="majorBidi" w:hAnsiTheme="majorBidi"/>
          <w:b/>
          <w:bCs/>
          <w:color w:val="auto"/>
          <w:sz w:val="26"/>
          <w:szCs w:val="26"/>
        </w:rPr>
        <w:t>(Source: based on Certificate of Origin Issued by reporting country)</w:t>
      </w:r>
    </w:p>
    <w:p>
      <w:pPr>
        <w:pStyle w:val="Standard"/>
        <w:spacing w:before="0" w:after="0"/>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Standard"/>
        <w:spacing w:before="0" w:after="0"/>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Standard"/>
        <w:spacing w:before="0" w:after="0"/>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Standard"/>
        <w:spacing w:before="0" w:after="0"/>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Standard"/>
        <w:spacing w:before="0" w:after="0"/>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Standard"/>
        <w:spacing w:before="0" w:after="0"/>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Standard"/>
        <w:spacing w:before="0" w:after="0"/>
        <w:jc w:val="both"/>
        <w:rPr>
          <w:rFonts w:cs="" w:asciiTheme="majorBidi" w:cstheme="majorBidi" w:hAnsiTheme="majorBidi"/>
          <w:color w:val="auto"/>
          <w:sz w:val="26"/>
          <w:szCs w:val="26"/>
        </w:rPr>
      </w:pPr>
      <w:r>
        <w:rPr>
          <w:rFonts w:cs="" w:asciiTheme="majorBidi" w:cstheme="majorBidi" w:hAnsiTheme="majorBidi"/>
          <w:color w:val="auto"/>
          <w:sz w:val="26"/>
          <w:szCs w:val="26"/>
        </w:rPr>
        <w:t xml:space="preserve">c) </w:t>
        <w:tab/>
        <w:t>Top 10 items of import from India during June 2024 (Data is available till March 2024 on CAPMAS)</w:t>
      </w:r>
    </w:p>
    <w:p>
      <w:pPr>
        <w:pStyle w:val="Standard"/>
        <w:spacing w:before="0" w:after="0"/>
        <w:rPr>
          <w:rFonts w:cs="" w:asciiTheme="majorBidi" w:cstheme="majorBidi" w:hAnsiTheme="majorBidi"/>
          <w:color w:val="auto"/>
          <w:sz w:val="26"/>
          <w:szCs w:val="26"/>
          <w:lang w:bidi="ar-EG"/>
        </w:rPr>
      </w:pPr>
      <w:r>
        <w:rPr>
          <w:rFonts w:cs="" w:asciiTheme="majorBidi" w:cstheme="majorBidi" w:hAnsiTheme="majorBidi"/>
          <w:color w:val="auto"/>
          <w:sz w:val="26"/>
          <w:szCs w:val="26"/>
        </w:rPr>
        <w:tab/>
        <w:t>Source: CAPMAS</w:t>
      </w:r>
    </w:p>
    <w:tbl>
      <w:tblPr>
        <w:tblW w:w="9980"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1537"/>
        <w:gridCol w:w="5139"/>
        <w:gridCol w:w="1881"/>
        <w:gridCol w:w="1422"/>
      </w:tblGrid>
      <w:tr>
        <w:trPr>
          <w:trHeight w:val="687" w:hRule="atLeast"/>
        </w:trPr>
        <w:tc>
          <w:tcPr>
            <w:tcW w:w="153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widowControl w:val="false"/>
              <w:spacing w:before="0" w:after="200"/>
              <w:jc w:val="center"/>
              <w:rPr>
                <w:rFonts w:cs="" w:asciiTheme="majorBidi" w:cstheme="majorBidi" w:hAnsiTheme="majorBidi"/>
                <w:color w:val="auto"/>
              </w:rPr>
            </w:pPr>
            <w:r>
              <w:rPr>
                <w:rFonts w:cs="" w:asciiTheme="majorBidi" w:cstheme="majorBidi" w:hAnsiTheme="majorBidi"/>
                <w:color w:val="auto"/>
              </w:rPr>
              <w:t>HS Code</w:t>
            </w:r>
          </w:p>
        </w:tc>
        <w:tc>
          <w:tcPr>
            <w:tcW w:w="513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widowControl w:val="false"/>
              <w:spacing w:before="0" w:after="200"/>
              <w:jc w:val="center"/>
              <w:rPr>
                <w:rFonts w:cs="" w:asciiTheme="majorBidi" w:cstheme="majorBidi" w:hAnsiTheme="majorBidi"/>
                <w:color w:val="auto"/>
              </w:rPr>
            </w:pPr>
            <w:r>
              <w:rPr>
                <w:rFonts w:cs="" w:asciiTheme="majorBidi" w:cstheme="majorBidi" w:hAnsiTheme="majorBidi"/>
                <w:color w:val="auto"/>
              </w:rPr>
              <w:t>Commodity</w:t>
            </w:r>
          </w:p>
        </w:tc>
        <w:tc>
          <w:tcPr>
            <w:tcW w:w="1881"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widowControl w:val="false"/>
              <w:spacing w:before="0" w:after="200"/>
              <w:jc w:val="center"/>
              <w:rPr>
                <w:rFonts w:cs="" w:asciiTheme="majorBidi" w:cstheme="majorBidi" w:hAnsiTheme="majorBidi"/>
                <w:color w:val="auto"/>
              </w:rPr>
            </w:pPr>
            <w:r>
              <w:rPr>
                <w:rFonts w:cs="" w:asciiTheme="majorBidi" w:cstheme="majorBidi" w:hAnsiTheme="majorBidi"/>
                <w:color w:val="auto"/>
              </w:rPr>
              <w:t>Value (US$)</w:t>
            </w:r>
          </w:p>
        </w:tc>
        <w:tc>
          <w:tcPr>
            <w:tcW w:w="142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widowControl w:val="false"/>
              <w:spacing w:before="0" w:after="200"/>
              <w:jc w:val="center"/>
              <w:rPr>
                <w:rFonts w:cs="" w:asciiTheme="majorBidi" w:cstheme="majorBidi" w:hAnsiTheme="majorBidi"/>
                <w:color w:val="auto"/>
              </w:rPr>
            </w:pPr>
            <w:r>
              <w:rPr>
                <w:rFonts w:cs="" w:asciiTheme="majorBidi" w:cstheme="majorBidi" w:hAnsiTheme="majorBidi"/>
                <w:color w:val="auto"/>
              </w:rPr>
              <w:t>Share in total import (%)</w:t>
            </w:r>
          </w:p>
        </w:tc>
      </w:tr>
      <w:tr>
        <w:trPr/>
        <w:tc>
          <w:tcPr>
            <w:tcW w:w="153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2023</w:t>
            </w:r>
          </w:p>
        </w:tc>
        <w:tc>
          <w:tcPr>
            <w:tcW w:w="513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Cuts of bov, boneless, frozen</w:t>
            </w:r>
          </w:p>
        </w:tc>
        <w:tc>
          <w:tcPr>
            <w:tcW w:w="188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62,965,269</w:t>
            </w:r>
          </w:p>
        </w:tc>
        <w:tc>
          <w:tcPr>
            <w:tcW w:w="142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32.2</w:t>
            </w:r>
          </w:p>
        </w:tc>
      </w:tr>
      <w:tr>
        <w:trPr/>
        <w:tc>
          <w:tcPr>
            <w:tcW w:w="153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2933</w:t>
            </w:r>
          </w:p>
        </w:tc>
        <w:tc>
          <w:tcPr>
            <w:tcW w:w="513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Other Patrol vehicles [ring] than harmonious with atom or atoms of is another harmonious nitrogen , unlike what was mentioned</w:t>
            </w:r>
          </w:p>
        </w:tc>
        <w:tc>
          <w:tcPr>
            <w:tcW w:w="188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12,951,001</w:t>
            </w:r>
          </w:p>
        </w:tc>
        <w:tc>
          <w:tcPr>
            <w:tcW w:w="142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6.6</w:t>
            </w:r>
          </w:p>
        </w:tc>
      </w:tr>
      <w:tr>
        <w:trPr/>
        <w:tc>
          <w:tcPr>
            <w:tcW w:w="153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2818</w:t>
            </w:r>
          </w:p>
        </w:tc>
        <w:tc>
          <w:tcPr>
            <w:tcW w:w="513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Aluminum oxide, other than artificial corundum</w:t>
            </w:r>
          </w:p>
        </w:tc>
        <w:tc>
          <w:tcPr>
            <w:tcW w:w="188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11,678,989</w:t>
            </w:r>
          </w:p>
        </w:tc>
        <w:tc>
          <w:tcPr>
            <w:tcW w:w="142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5.9</w:t>
            </w:r>
          </w:p>
        </w:tc>
      </w:tr>
      <w:tr>
        <w:trPr/>
        <w:tc>
          <w:tcPr>
            <w:tcW w:w="153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lang w:bidi="ar-EG"/>
              </w:rPr>
            </w:pPr>
            <w:r>
              <w:rPr>
                <w:lang w:bidi="ar-EG"/>
              </w:rPr>
              <w:t>1006</w:t>
            </w:r>
          </w:p>
        </w:tc>
        <w:tc>
          <w:tcPr>
            <w:tcW w:w="513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Semi-milled or wholly milled rice, whether or not polished or glazed</w:t>
            </w:r>
          </w:p>
        </w:tc>
        <w:tc>
          <w:tcPr>
            <w:tcW w:w="188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4,582,362</w:t>
            </w:r>
          </w:p>
        </w:tc>
        <w:tc>
          <w:tcPr>
            <w:tcW w:w="142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2.3</w:t>
            </w:r>
          </w:p>
        </w:tc>
      </w:tr>
      <w:tr>
        <w:trPr/>
        <w:tc>
          <w:tcPr>
            <w:tcW w:w="153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8545</w:t>
            </w:r>
          </w:p>
        </w:tc>
        <w:tc>
          <w:tcPr>
            <w:tcW w:w="513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Carbon electrodes, with or without metal, of a kind used for furnaces</w:t>
            </w:r>
          </w:p>
        </w:tc>
        <w:tc>
          <w:tcPr>
            <w:tcW w:w="188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3,084,095</w:t>
            </w:r>
          </w:p>
        </w:tc>
        <w:tc>
          <w:tcPr>
            <w:tcW w:w="142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1.6</w:t>
            </w:r>
          </w:p>
        </w:tc>
      </w:tr>
      <w:tr>
        <w:trPr/>
        <w:tc>
          <w:tcPr>
            <w:tcW w:w="153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6907</w:t>
            </w:r>
          </w:p>
        </w:tc>
        <w:tc>
          <w:tcPr>
            <w:tcW w:w="513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Tiles for paving and covering for chimneys or walls whose water absorption coefficient does not exceed 0.5% by weight except included articles in sub-headings 69 07 30 and 69 07 40.</w:t>
            </w:r>
          </w:p>
        </w:tc>
        <w:tc>
          <w:tcPr>
            <w:tcW w:w="188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3,052,555</w:t>
            </w:r>
          </w:p>
        </w:tc>
        <w:tc>
          <w:tcPr>
            <w:tcW w:w="142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1.6</w:t>
            </w:r>
          </w:p>
        </w:tc>
      </w:tr>
      <w:tr>
        <w:trPr/>
        <w:tc>
          <w:tcPr>
            <w:tcW w:w="153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3004</w:t>
            </w:r>
          </w:p>
        </w:tc>
        <w:tc>
          <w:tcPr>
            <w:tcW w:w="513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other medicaments of human medicine, other than those mentioned, consisting of mixed or unmixed products, for therapeutic or prophylactic uses, put up in measured doses (including those in the form of transdermal administration systems) or in forms or packings for retail sale.</w:t>
            </w:r>
          </w:p>
        </w:tc>
        <w:tc>
          <w:tcPr>
            <w:tcW w:w="188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2,744,109</w:t>
            </w:r>
          </w:p>
        </w:tc>
        <w:tc>
          <w:tcPr>
            <w:tcW w:w="142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1.4</w:t>
            </w:r>
          </w:p>
        </w:tc>
      </w:tr>
      <w:tr>
        <w:trPr>
          <w:trHeight w:val="390" w:hRule="atLeast"/>
        </w:trPr>
        <w:tc>
          <w:tcPr>
            <w:tcW w:w="153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5205</w:t>
            </w:r>
          </w:p>
        </w:tc>
        <w:tc>
          <w:tcPr>
            <w:tcW w:w="513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Cotton yarn (other than sewing thread), not put up for retail sale, single yarn, of combed fibers, Measuring less than 232.56 decitex but not less than 192.31 decitex (exceeding 43 metric number but not exceeding 52 metric number)</w:t>
            </w:r>
          </w:p>
        </w:tc>
        <w:tc>
          <w:tcPr>
            <w:tcW w:w="188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2,645,672</w:t>
            </w:r>
          </w:p>
        </w:tc>
        <w:tc>
          <w:tcPr>
            <w:tcW w:w="142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1.4</w:t>
            </w:r>
          </w:p>
        </w:tc>
      </w:tr>
      <w:tr>
        <w:trPr>
          <w:trHeight w:val="390" w:hRule="atLeast"/>
        </w:trPr>
        <w:tc>
          <w:tcPr>
            <w:tcW w:w="153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0206</w:t>
            </w:r>
          </w:p>
        </w:tc>
        <w:tc>
          <w:tcPr>
            <w:tcW w:w="513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Edible livers of bov; frozen</w:t>
            </w:r>
          </w:p>
        </w:tc>
        <w:tc>
          <w:tcPr>
            <w:tcW w:w="188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2,575,534</w:t>
            </w:r>
          </w:p>
        </w:tc>
        <w:tc>
          <w:tcPr>
            <w:tcW w:w="142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1.3</w:t>
            </w:r>
          </w:p>
        </w:tc>
      </w:tr>
      <w:tr>
        <w:trPr>
          <w:trHeight w:val="390" w:hRule="atLeast"/>
        </w:trPr>
        <w:tc>
          <w:tcPr>
            <w:tcW w:w="153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8479</w:t>
            </w:r>
          </w:p>
        </w:tc>
        <w:tc>
          <w:tcPr>
            <w:tcW w:w="5139"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Other machines and devices with a special function and stand alone, not mentioned or included elsewhere in this chapter</w:t>
            </w:r>
          </w:p>
        </w:tc>
        <w:tc>
          <w:tcPr>
            <w:tcW w:w="1881"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2,428,155</w:t>
            </w:r>
          </w:p>
        </w:tc>
        <w:tc>
          <w:tcPr>
            <w:tcW w:w="142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1.3</w:t>
            </w:r>
          </w:p>
        </w:tc>
      </w:tr>
    </w:tbl>
    <w:p>
      <w:pPr>
        <w:pStyle w:val="Standard"/>
        <w:spacing w:before="0" w:after="0"/>
        <w:rPr>
          <w:rFonts w:cs="" w:asciiTheme="majorBidi" w:cstheme="majorBidi" w:hAnsiTheme="majorBidi"/>
          <w:color w:val="auto"/>
          <w:sz w:val="26"/>
          <w:szCs w:val="26"/>
        </w:rPr>
      </w:pPr>
      <w:r>
        <w:rPr>
          <w:rFonts w:cs="" w:asciiTheme="majorBidi" w:cstheme="majorBidi" w:hAnsiTheme="majorBidi"/>
          <w:color w:val="auto"/>
          <w:sz w:val="26"/>
          <w:szCs w:val="26"/>
        </w:rPr>
      </w:r>
    </w:p>
    <w:p>
      <w:pPr>
        <w:pStyle w:val="Standard"/>
        <w:spacing w:before="0" w:after="0"/>
        <w:rPr>
          <w:rFonts w:cs="" w:asciiTheme="majorBidi" w:cstheme="majorBidi" w:hAnsiTheme="majorBidi"/>
          <w:color w:val="auto"/>
          <w:sz w:val="26"/>
          <w:szCs w:val="26"/>
        </w:rPr>
      </w:pPr>
      <w:r>
        <w:rPr>
          <w:rFonts w:cs="" w:asciiTheme="majorBidi" w:cstheme="majorBidi" w:hAnsiTheme="majorBidi"/>
          <w:color w:val="auto"/>
          <w:sz w:val="26"/>
          <w:szCs w:val="26"/>
        </w:rPr>
        <w:t xml:space="preserve">d) </w:t>
        <w:tab/>
        <w:t xml:space="preserve">Top 10 items of export to India during June 2024 </w:t>
      </w:r>
      <w:bookmarkStart w:id="1" w:name="_Hlk161756865"/>
      <w:r>
        <w:rPr>
          <w:rFonts w:cs="" w:asciiTheme="majorBidi" w:cstheme="majorBidi" w:hAnsiTheme="majorBidi"/>
          <w:color w:val="auto"/>
          <w:sz w:val="26"/>
          <w:szCs w:val="26"/>
        </w:rPr>
        <w:t>(Data is available till March 2024 on CAPMAS)</w:t>
      </w:r>
      <w:bookmarkEnd w:id="1"/>
    </w:p>
    <w:p>
      <w:pPr>
        <w:pStyle w:val="Standard"/>
        <w:tabs>
          <w:tab w:val="clear" w:pos="709"/>
          <w:tab w:val="left" w:pos="720" w:leader="none"/>
          <w:tab w:val="left" w:pos="1440" w:leader="none"/>
          <w:tab w:val="left" w:pos="2160" w:leader="none"/>
          <w:tab w:val="left" w:pos="2880" w:leader="none"/>
          <w:tab w:val="center" w:pos="4995" w:leader="none"/>
        </w:tabs>
        <w:spacing w:before="0" w:after="0"/>
        <w:rPr>
          <w:rFonts w:cs="" w:asciiTheme="majorBidi" w:cstheme="majorBidi" w:hAnsiTheme="majorBidi"/>
          <w:color w:val="auto"/>
          <w:sz w:val="26"/>
          <w:szCs w:val="26"/>
        </w:rPr>
      </w:pPr>
      <w:r>
        <w:rPr>
          <w:rFonts w:cs="" w:asciiTheme="majorBidi" w:cstheme="majorBidi" w:hAnsiTheme="majorBidi"/>
          <w:color w:val="auto"/>
          <w:sz w:val="26"/>
          <w:szCs w:val="26"/>
        </w:rPr>
        <w:tab/>
        <w:t>Source: CAPMAS</w:t>
      </w:r>
    </w:p>
    <w:tbl>
      <w:tblPr>
        <w:tblW w:w="9980" w:type="dxa"/>
        <w:jc w:val="left"/>
        <w:tblInd w:w="0" w:type="dxa"/>
        <w:tblLayout w:type="fixed"/>
        <w:tblCellMar>
          <w:top w:w="0" w:type="dxa"/>
          <w:left w:w="108" w:type="dxa"/>
          <w:bottom w:w="0" w:type="dxa"/>
          <w:right w:w="108" w:type="dxa"/>
        </w:tblCellMar>
        <w:tblLook w:val="0000" w:noHBand="0" w:noVBand="0" w:firstColumn="0" w:lastRow="0" w:lastColumn="0" w:firstRow="0"/>
      </w:tblPr>
      <w:tblGrid>
        <w:gridCol w:w="1607"/>
        <w:gridCol w:w="5047"/>
        <w:gridCol w:w="1890"/>
        <w:gridCol w:w="1435"/>
      </w:tblGrid>
      <w:tr>
        <w:trPr/>
        <w:tc>
          <w:tcPr>
            <w:tcW w:w="160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widowControl w:val="false"/>
              <w:spacing w:before="0" w:after="200"/>
              <w:jc w:val="center"/>
              <w:rPr>
                <w:rFonts w:cs="" w:asciiTheme="majorBidi" w:cstheme="majorBidi" w:hAnsiTheme="majorBidi"/>
                <w:color w:val="auto"/>
              </w:rPr>
            </w:pPr>
            <w:r>
              <w:rPr>
                <w:rFonts w:cs="" w:asciiTheme="majorBidi" w:cstheme="majorBidi" w:hAnsiTheme="majorBidi"/>
                <w:color w:val="auto"/>
              </w:rPr>
              <w:t>HS Code</w:t>
            </w:r>
          </w:p>
        </w:tc>
        <w:tc>
          <w:tcPr>
            <w:tcW w:w="504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widowControl w:val="false"/>
              <w:spacing w:before="0" w:after="200"/>
              <w:jc w:val="center"/>
              <w:rPr>
                <w:rFonts w:cs="" w:asciiTheme="majorBidi" w:cstheme="majorBidi" w:hAnsiTheme="majorBidi"/>
                <w:color w:val="auto"/>
              </w:rPr>
            </w:pPr>
            <w:r>
              <w:rPr>
                <w:rFonts w:cs="" w:asciiTheme="majorBidi" w:cstheme="majorBidi" w:hAnsiTheme="majorBidi"/>
                <w:color w:val="auto"/>
              </w:rPr>
              <w:t>Commodity</w:t>
            </w:r>
          </w:p>
        </w:tc>
        <w:tc>
          <w:tcPr>
            <w:tcW w:w="1890"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widowControl w:val="false"/>
              <w:spacing w:before="0" w:after="200"/>
              <w:jc w:val="center"/>
              <w:rPr>
                <w:rFonts w:cs="" w:asciiTheme="majorBidi" w:cstheme="majorBidi" w:hAnsiTheme="majorBidi"/>
                <w:color w:val="auto"/>
              </w:rPr>
            </w:pPr>
            <w:r>
              <w:rPr>
                <w:rFonts w:cs="" w:asciiTheme="majorBidi" w:cstheme="majorBidi" w:hAnsiTheme="majorBidi"/>
                <w:color w:val="auto"/>
              </w:rPr>
              <w:t>Value (US$)</w:t>
            </w:r>
          </w:p>
        </w:tc>
        <w:tc>
          <w:tcPr>
            <w:tcW w:w="143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Standard"/>
              <w:widowControl w:val="false"/>
              <w:spacing w:before="0" w:after="200"/>
              <w:jc w:val="center"/>
              <w:rPr>
                <w:rFonts w:cs="" w:asciiTheme="majorBidi" w:cstheme="majorBidi" w:hAnsiTheme="majorBidi"/>
                <w:color w:val="auto"/>
              </w:rPr>
            </w:pPr>
            <w:r>
              <w:rPr>
                <w:rFonts w:cs="" w:asciiTheme="majorBidi" w:cstheme="majorBidi" w:hAnsiTheme="majorBidi"/>
                <w:color w:val="auto"/>
              </w:rPr>
              <w:t>Share in total export (%)</w:t>
            </w:r>
          </w:p>
        </w:tc>
      </w:tr>
      <w:tr>
        <w:trPr/>
        <w:tc>
          <w:tcPr>
            <w:tcW w:w="16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0805</w:t>
            </w:r>
          </w:p>
        </w:tc>
        <w:tc>
          <w:tcPr>
            <w:tcW w:w="504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Fresh orange other than mentioned above</w:t>
            </w:r>
          </w:p>
        </w:tc>
        <w:tc>
          <w:tcPr>
            <w:tcW w:w="18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11,067,064</w:t>
            </w:r>
          </w:p>
        </w:tc>
        <w:tc>
          <w:tcPr>
            <w:tcW w:w="143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28.7</w:t>
            </w:r>
          </w:p>
        </w:tc>
      </w:tr>
      <w:tr>
        <w:trPr/>
        <w:tc>
          <w:tcPr>
            <w:tcW w:w="16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2510</w:t>
            </w:r>
          </w:p>
        </w:tc>
        <w:tc>
          <w:tcPr>
            <w:tcW w:w="504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Natural calcium phosphates, unground</w:t>
            </w:r>
          </w:p>
        </w:tc>
        <w:tc>
          <w:tcPr>
            <w:tcW w:w="18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8,906,775</w:t>
            </w:r>
          </w:p>
        </w:tc>
        <w:tc>
          <w:tcPr>
            <w:tcW w:w="143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23.1</w:t>
            </w:r>
          </w:p>
        </w:tc>
      </w:tr>
      <w:tr>
        <w:trPr/>
        <w:tc>
          <w:tcPr>
            <w:tcW w:w="16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5201</w:t>
            </w:r>
          </w:p>
        </w:tc>
        <w:tc>
          <w:tcPr>
            <w:tcW w:w="504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Other cotton, not carded or combed, ginned</w:t>
            </w:r>
          </w:p>
        </w:tc>
        <w:tc>
          <w:tcPr>
            <w:tcW w:w="18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6,209,540</w:t>
            </w:r>
          </w:p>
        </w:tc>
        <w:tc>
          <w:tcPr>
            <w:tcW w:w="143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16.2</w:t>
            </w:r>
          </w:p>
        </w:tc>
      </w:tr>
      <w:tr>
        <w:trPr/>
        <w:tc>
          <w:tcPr>
            <w:tcW w:w="16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2836</w:t>
            </w:r>
          </w:p>
        </w:tc>
        <w:tc>
          <w:tcPr>
            <w:tcW w:w="504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Calcium carbonate other than those mentioned above</w:t>
            </w:r>
          </w:p>
        </w:tc>
        <w:tc>
          <w:tcPr>
            <w:tcW w:w="18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2,877,709</w:t>
            </w:r>
          </w:p>
        </w:tc>
        <w:tc>
          <w:tcPr>
            <w:tcW w:w="143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7.5</w:t>
            </w:r>
          </w:p>
        </w:tc>
      </w:tr>
      <w:tr>
        <w:trPr/>
        <w:tc>
          <w:tcPr>
            <w:tcW w:w="16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0805</w:t>
            </w:r>
          </w:p>
        </w:tc>
        <w:tc>
          <w:tcPr>
            <w:tcW w:w="504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Valencia oranges, fresh.</w:t>
            </w:r>
          </w:p>
        </w:tc>
        <w:tc>
          <w:tcPr>
            <w:tcW w:w="18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1,348,151</w:t>
            </w:r>
          </w:p>
        </w:tc>
        <w:tc>
          <w:tcPr>
            <w:tcW w:w="143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3.5</w:t>
            </w:r>
          </w:p>
        </w:tc>
      </w:tr>
      <w:tr>
        <w:trPr/>
        <w:tc>
          <w:tcPr>
            <w:tcW w:w="16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5301</w:t>
            </w:r>
          </w:p>
        </w:tc>
        <w:tc>
          <w:tcPr>
            <w:tcW w:w="504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Flax, hackled or otherwise processed, but not spun</w:t>
            </w:r>
          </w:p>
        </w:tc>
        <w:tc>
          <w:tcPr>
            <w:tcW w:w="18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679,359</w:t>
            </w:r>
          </w:p>
        </w:tc>
        <w:tc>
          <w:tcPr>
            <w:tcW w:w="143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1.7</w:t>
            </w:r>
          </w:p>
        </w:tc>
      </w:tr>
      <w:tr>
        <w:trPr/>
        <w:tc>
          <w:tcPr>
            <w:tcW w:w="16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2521</w:t>
            </w:r>
          </w:p>
        </w:tc>
        <w:tc>
          <w:tcPr>
            <w:tcW w:w="504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Limestone flux; limestone and other calcareous stone, of a kind used for the manufacture of lime or cement</w:t>
            </w:r>
          </w:p>
        </w:tc>
        <w:tc>
          <w:tcPr>
            <w:tcW w:w="18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560,739</w:t>
            </w:r>
          </w:p>
        </w:tc>
        <w:tc>
          <w:tcPr>
            <w:tcW w:w="143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1.5</w:t>
            </w:r>
          </w:p>
        </w:tc>
      </w:tr>
      <w:tr>
        <w:trPr/>
        <w:tc>
          <w:tcPr>
            <w:tcW w:w="16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7310</w:t>
            </w:r>
          </w:p>
        </w:tc>
        <w:tc>
          <w:tcPr>
            <w:tcW w:w="504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Tanks, casks, drums, cans, boxes and similar containers, for any material (other than compressed or liquefied gas), of cast iron, iron or steel,Of a capacity of 50 litres or more and not exceeding 300 litres, whether or not lined or heatinsulated, but not fitted with mechanical or thermal equipment.</w:t>
            </w:r>
          </w:p>
        </w:tc>
        <w:tc>
          <w:tcPr>
            <w:tcW w:w="18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506,293</w:t>
            </w:r>
          </w:p>
        </w:tc>
        <w:tc>
          <w:tcPr>
            <w:tcW w:w="143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1.3</w:t>
            </w:r>
          </w:p>
        </w:tc>
      </w:tr>
      <w:tr>
        <w:trPr/>
        <w:tc>
          <w:tcPr>
            <w:tcW w:w="16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3814</w:t>
            </w:r>
          </w:p>
        </w:tc>
        <w:tc>
          <w:tcPr>
            <w:tcW w:w="504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Organic composite solvents, not included elsewhere in; preparations designed to removed the paint or lacquer.</w:t>
            </w:r>
          </w:p>
        </w:tc>
        <w:tc>
          <w:tcPr>
            <w:tcW w:w="18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470,093</w:t>
            </w:r>
          </w:p>
        </w:tc>
        <w:tc>
          <w:tcPr>
            <w:tcW w:w="143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1.2</w:t>
            </w:r>
          </w:p>
        </w:tc>
      </w:tr>
      <w:tr>
        <w:trPr/>
        <w:tc>
          <w:tcPr>
            <w:tcW w:w="160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4104</w:t>
            </w:r>
          </w:p>
        </w:tc>
        <w:tc>
          <w:tcPr>
            <w:tcW w:w="5047"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Salals and other hides of dehaired bovine including buffaloes or horses, whether or not split, tanned and prepared in their dry state [crust] but arenot otherwise prepared</w:t>
            </w:r>
          </w:p>
        </w:tc>
        <w:tc>
          <w:tcPr>
            <w:tcW w:w="1890"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383,279</w:t>
            </w:r>
          </w:p>
        </w:tc>
        <w:tc>
          <w:tcPr>
            <w:tcW w:w="1435"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pPr>
            <w:r>
              <w:rPr/>
              <w:t>0.9</w:t>
            </w:r>
          </w:p>
        </w:tc>
      </w:tr>
    </w:tbl>
    <w:p>
      <w:pPr>
        <w:pStyle w:val="Standard"/>
        <w:rPr>
          <w:rFonts w:cs="" w:asciiTheme="majorBidi" w:cstheme="majorBidi" w:hAnsiTheme="majorBidi"/>
          <w:color w:val="auto"/>
          <w:sz w:val="26"/>
          <w:szCs w:val="26"/>
        </w:rPr>
      </w:pPr>
      <w:r>
        <w:rPr>
          <w:rFonts w:cs="" w:asciiTheme="majorBidi" w:cstheme="majorBidi" w:hAnsiTheme="majorBidi"/>
          <w:color w:val="auto"/>
          <w:sz w:val="26"/>
          <w:szCs w:val="26"/>
        </w:rPr>
      </w:r>
    </w:p>
    <w:p>
      <w:pPr>
        <w:pStyle w:val="Standard"/>
        <w:spacing w:before="0" w:after="0"/>
        <w:rPr>
          <w:rFonts w:cs="" w:asciiTheme="majorBidi" w:cstheme="majorBidi" w:hAnsiTheme="majorBidi"/>
          <w:color w:val="auto"/>
          <w:sz w:val="26"/>
          <w:szCs w:val="26"/>
        </w:rPr>
      </w:pPr>
      <w:r>
        <w:rPr>
          <w:rFonts w:cs="" w:asciiTheme="majorBidi" w:cstheme="majorBidi" w:hAnsiTheme="majorBidi"/>
          <w:color w:val="auto"/>
          <w:sz w:val="26"/>
          <w:szCs w:val="26"/>
        </w:rPr>
        <w:t xml:space="preserve">g) </w:t>
        <w:tab/>
        <w:t>Potential products of Imports from India (Data is available till March 2024 on CAPMAS)</w:t>
      </w:r>
    </w:p>
    <w:tbl>
      <w:tblPr>
        <w:tblW w:w="10616" w:type="dxa"/>
        <w:jc w:val="left"/>
        <w:tblInd w:w="1" w:type="dxa"/>
        <w:tblLayout w:type="fixed"/>
        <w:tblCellMar>
          <w:top w:w="55" w:type="dxa"/>
          <w:left w:w="42" w:type="dxa"/>
          <w:bottom w:w="55" w:type="dxa"/>
          <w:right w:w="55" w:type="dxa"/>
        </w:tblCellMar>
        <w:tblLook w:val="0000" w:noHBand="0" w:noVBand="0" w:firstColumn="0" w:lastRow="0" w:lastColumn="0" w:firstRow="0"/>
      </w:tblPr>
      <w:tblGrid>
        <w:gridCol w:w="888"/>
        <w:gridCol w:w="2168"/>
        <w:gridCol w:w="7560"/>
      </w:tblGrid>
      <w:tr>
        <w:trPr>
          <w:trHeight w:val="775" w:hRule="atLeast"/>
        </w:trPr>
        <w:tc>
          <w:tcPr>
            <w:tcW w:w="888" w:type="dxa"/>
            <w:tcBorders>
              <w:top w:val="single" w:sz="2" w:space="0" w:color="000001"/>
              <w:left w:val="single" w:sz="2" w:space="0" w:color="000001"/>
              <w:bottom w:val="single" w:sz="2" w:space="0" w:color="000001"/>
            </w:tcBorders>
            <w:shd w:color="auto" w:fill="FFFFFF" w:val="clear"/>
          </w:tcPr>
          <w:p>
            <w:pPr>
              <w:pStyle w:val="TableContents"/>
              <w:widowControl w:val="false"/>
              <w:rPr>
                <w:rFonts w:cs="" w:asciiTheme="majorBidi" w:cstheme="majorBidi" w:hAnsiTheme="majorBidi"/>
                <w:color w:val="auto"/>
              </w:rPr>
            </w:pPr>
            <w:r>
              <w:rPr>
                <w:rFonts w:cs="" w:asciiTheme="majorBidi" w:cstheme="majorBidi" w:hAnsiTheme="majorBidi"/>
                <w:b/>
                <w:bCs/>
                <w:color w:val="auto"/>
              </w:rPr>
              <w:t>Sl. No.</w:t>
            </w:r>
          </w:p>
        </w:tc>
        <w:tc>
          <w:tcPr>
            <w:tcW w:w="2168" w:type="dxa"/>
            <w:tcBorders>
              <w:top w:val="single" w:sz="2" w:space="0" w:color="000001"/>
              <w:left w:val="single" w:sz="2" w:space="0" w:color="000001"/>
              <w:bottom w:val="single" w:sz="2" w:space="0" w:color="000001"/>
            </w:tcBorders>
            <w:shd w:color="auto" w:fill="FFFFFF" w:val="clear"/>
          </w:tcPr>
          <w:p>
            <w:pPr>
              <w:pStyle w:val="Textbody1"/>
              <w:widowControl w:val="false"/>
              <w:spacing w:before="0" w:after="0"/>
              <w:jc w:val="center"/>
              <w:rPr>
                <w:rFonts w:cs="" w:asciiTheme="majorBidi" w:cstheme="majorBidi" w:hAnsiTheme="majorBidi"/>
                <w:color w:val="auto"/>
              </w:rPr>
            </w:pPr>
            <w:r>
              <w:rPr>
                <w:rFonts w:cs="" w:asciiTheme="majorBidi" w:cstheme="majorBidi" w:hAnsiTheme="majorBidi"/>
                <w:b/>
                <w:bCs/>
                <w:color w:val="auto"/>
              </w:rPr>
              <w:t>Commodity (4-digit HS tariff line)</w:t>
            </w:r>
          </w:p>
        </w:tc>
        <w:tc>
          <w:tcPr>
            <w:tcW w:w="7560" w:type="dxa"/>
            <w:tcBorders>
              <w:top w:val="single" w:sz="2" w:space="0" w:color="000001"/>
              <w:left w:val="single" w:sz="2" w:space="0" w:color="000001"/>
              <w:bottom w:val="single" w:sz="2" w:space="0" w:color="000001"/>
              <w:right w:val="single" w:sz="2" w:space="0" w:color="000001"/>
            </w:tcBorders>
            <w:shd w:color="auto" w:fill="FFFFFF" w:val="clear"/>
          </w:tcPr>
          <w:p>
            <w:pPr>
              <w:pStyle w:val="Textbody1"/>
              <w:widowControl w:val="false"/>
              <w:spacing w:before="0" w:after="0"/>
              <w:jc w:val="center"/>
              <w:rPr>
                <w:rFonts w:cs="" w:asciiTheme="majorBidi" w:cstheme="majorBidi" w:hAnsiTheme="majorBidi"/>
                <w:color w:val="auto"/>
              </w:rPr>
            </w:pPr>
            <w:r>
              <w:rPr>
                <w:rFonts w:cs="" w:asciiTheme="majorBidi" w:cstheme="majorBidi" w:hAnsiTheme="majorBidi"/>
                <w:b/>
                <w:bCs/>
                <w:color w:val="auto"/>
              </w:rPr>
              <w:t>Rationale</w:t>
            </w:r>
          </w:p>
          <w:p>
            <w:pPr>
              <w:pStyle w:val="Textbody1"/>
              <w:widowControl w:val="false"/>
              <w:spacing w:before="0" w:after="0"/>
              <w:jc w:val="center"/>
              <w:rPr>
                <w:rFonts w:cs="" w:asciiTheme="majorBidi" w:cstheme="majorBidi" w:hAnsiTheme="majorBidi"/>
                <w:color w:val="auto"/>
              </w:rPr>
            </w:pPr>
            <w:r>
              <w:rPr>
                <w:rFonts w:cs="" w:asciiTheme="majorBidi" w:cstheme="majorBidi" w:hAnsiTheme="majorBidi"/>
                <w:b/>
                <w:bCs/>
                <w:color w:val="auto"/>
              </w:rPr>
              <w:t>(Max. 200 words)</w:t>
            </w:r>
          </w:p>
        </w:tc>
      </w:tr>
      <w:tr>
        <w:trPr>
          <w:trHeight w:val="5441" w:hRule="atLeast"/>
        </w:trPr>
        <w:tc>
          <w:tcPr>
            <w:tcW w:w="888" w:type="dxa"/>
            <w:tcBorders>
              <w:top w:val="single" w:sz="2" w:space="0" w:color="000001"/>
              <w:left w:val="single" w:sz="2" w:space="0" w:color="000001"/>
              <w:bottom w:val="single" w:sz="2" w:space="0" w:color="000001"/>
            </w:tcBorders>
            <w:shd w:color="auto" w:fill="FFFFFF" w:val="clear"/>
          </w:tcPr>
          <w:p>
            <w:pPr>
              <w:pStyle w:val="TableContents"/>
              <w:widowControl w:val="false"/>
              <w:spacing w:lineRule="atLeast" w:line="285"/>
              <w:ind w:left="58" w:hanging="0"/>
              <w:jc w:val="both"/>
              <w:rPr>
                <w:rFonts w:cs="" w:asciiTheme="majorBidi" w:cstheme="majorBidi" w:hAnsiTheme="majorBidi"/>
                <w:color w:val="auto"/>
              </w:rPr>
            </w:pPr>
            <w:r>
              <w:rPr>
                <w:rFonts w:cs="" w:asciiTheme="majorBidi" w:cstheme="majorBidi" w:hAnsiTheme="majorBidi"/>
                <w:color w:val="auto"/>
                <w:lang w:val="en-IN"/>
              </w:rPr>
              <w:t>(i)</w:t>
            </w:r>
          </w:p>
        </w:tc>
        <w:tc>
          <w:tcPr>
            <w:tcW w:w="2168" w:type="dxa"/>
            <w:tcBorders>
              <w:top w:val="single" w:sz="2" w:space="0" w:color="000001"/>
              <w:left w:val="single" w:sz="2" w:space="0" w:color="000001"/>
              <w:bottom w:val="single" w:sz="2" w:space="0" w:color="000001"/>
            </w:tcBorders>
            <w:shd w:color="auto" w:fill="FFFFFF" w:val="clear"/>
          </w:tcPr>
          <w:p>
            <w:pPr>
              <w:pStyle w:val="TableContents"/>
              <w:widowControl w:val="false"/>
              <w:spacing w:lineRule="atLeast" w:line="285"/>
              <w:ind w:left="58" w:hanging="0"/>
              <w:jc w:val="both"/>
              <w:rPr>
                <w:rFonts w:cs="" w:asciiTheme="majorBidi" w:cstheme="majorBidi" w:hAnsiTheme="majorBidi"/>
                <w:color w:val="auto"/>
              </w:rPr>
            </w:pPr>
            <w:r>
              <w:rPr>
                <w:rFonts w:cs="" w:asciiTheme="majorBidi" w:cstheme="majorBidi" w:hAnsiTheme="majorBidi"/>
                <w:color w:val="auto"/>
                <w:lang w:val="en-IN"/>
              </w:rPr>
              <w:t>Textile (5911)</w:t>
            </w:r>
          </w:p>
        </w:tc>
        <w:tc>
          <w:tcPr>
            <w:tcW w:w="7560" w:type="dxa"/>
            <w:tcBorders>
              <w:top w:val="single" w:sz="2" w:space="0" w:color="000001"/>
              <w:left w:val="single" w:sz="2" w:space="0" w:color="000001"/>
              <w:bottom w:val="single" w:sz="2" w:space="0" w:color="000001"/>
              <w:right w:val="single" w:sz="2" w:space="0" w:color="000001"/>
            </w:tcBorders>
            <w:shd w:color="auto" w:fill="FFFFFF" w:val="clear"/>
          </w:tcPr>
          <w:p>
            <w:pPr>
              <w:pStyle w:val="TableContents"/>
              <w:widowControl w:val="false"/>
              <w:spacing w:lineRule="atLeast" w:line="285"/>
              <w:ind w:left="58" w:hanging="0"/>
              <w:jc w:val="both"/>
              <w:rPr>
                <w:rFonts w:cs="" w:asciiTheme="majorBidi" w:cstheme="majorBidi" w:hAnsiTheme="majorBidi"/>
                <w:color w:val="auto"/>
              </w:rPr>
            </w:pPr>
            <w:r>
              <w:rPr>
                <w:rFonts w:cs="" w:asciiTheme="majorBidi" w:cstheme="majorBidi" w:hAnsiTheme="majorBidi"/>
                <w:color w:val="auto"/>
              </w:rPr>
              <w:t>Textile sector accounts for 3% of GDP and 27% of the industrial output of Egypt. 25% of the total industry is focused on textile production, of which 12% are engaged in home textiles, 8% in cotton yarn, and 5% in other textiles. Public sector dominates the production industry with 50% in spinning, 60% in hemming, and 60% in weaving. Private sector owns 90% of the garmenting side of the industry. Spinning and weaving sector is being dominated by the large-scale industries with a strong influence of public sector.</w:t>
            </w:r>
          </w:p>
          <w:p>
            <w:pPr>
              <w:pStyle w:val="TableContents"/>
              <w:widowControl w:val="false"/>
              <w:spacing w:lineRule="atLeast" w:line="285"/>
              <w:ind w:left="58" w:hanging="0"/>
              <w:jc w:val="both"/>
              <w:rPr>
                <w:rFonts w:cs="" w:asciiTheme="majorBidi" w:cstheme="majorBidi" w:hAnsiTheme="majorBidi"/>
                <w:color w:val="auto"/>
              </w:rPr>
            </w:pPr>
            <w:r>
              <w:rPr>
                <w:rFonts w:cs="" w:asciiTheme="majorBidi" w:cstheme="majorBidi" w:hAnsiTheme="majorBidi"/>
                <w:color w:val="auto"/>
              </w:rPr>
            </w:r>
          </w:p>
          <w:p>
            <w:pPr>
              <w:pStyle w:val="TableContents"/>
              <w:widowControl w:val="false"/>
              <w:spacing w:lineRule="atLeast" w:line="285"/>
              <w:jc w:val="both"/>
              <w:rPr>
                <w:rFonts w:cs="" w:asciiTheme="majorBidi" w:cstheme="majorBidi" w:hAnsiTheme="majorBidi"/>
                <w:color w:val="auto"/>
              </w:rPr>
            </w:pPr>
            <w:r>
              <w:rPr>
                <w:rFonts w:cs="" w:asciiTheme="majorBidi" w:cstheme="majorBidi" w:hAnsiTheme="majorBidi"/>
                <w:color w:val="auto"/>
              </w:rPr>
              <w:t>Egypt textile sector consists of 3,243 companies with a total investment of USD 3.2 billion. Textile industries of Egypt produce 315 million apparels, and exports 305,000 tons of cloth and apparel annually. US constitute 80% of the country’s export market, followed by EU and Arabian countries comprising the remaining 20%.</w:t>
            </w:r>
          </w:p>
          <w:p>
            <w:pPr>
              <w:pStyle w:val="TableContents"/>
              <w:widowControl w:val="false"/>
              <w:spacing w:lineRule="atLeast" w:line="285"/>
              <w:ind w:left="58" w:hanging="0"/>
              <w:jc w:val="both"/>
              <w:rPr>
                <w:rFonts w:cs="" w:asciiTheme="majorBidi" w:cstheme="majorBidi" w:hAnsiTheme="majorBidi"/>
                <w:color w:val="auto"/>
              </w:rPr>
            </w:pPr>
            <w:r>
              <w:rPr>
                <w:rFonts w:cs="" w:asciiTheme="majorBidi" w:cstheme="majorBidi" w:hAnsiTheme="majorBidi"/>
                <w:color w:val="auto"/>
              </w:rPr>
            </w:r>
          </w:p>
          <w:p>
            <w:pPr>
              <w:pStyle w:val="Normal"/>
              <w:widowControl w:val="false"/>
              <w:spacing w:lineRule="auto" w:line="360"/>
              <w:jc w:val="both"/>
              <w:rPr>
                <w:rFonts w:cs="" w:asciiTheme="majorBidi" w:cstheme="majorBidi" w:hAnsiTheme="majorBidi"/>
              </w:rPr>
            </w:pPr>
            <w:r>
              <w:rPr>
                <w:rFonts w:cs="" w:asciiTheme="majorBidi" w:cstheme="majorBidi" w:hAnsiTheme="majorBidi"/>
              </w:rPr>
              <w:t xml:space="preserve">Egypt imported USD </w:t>
              <w:tab/>
              <w:t xml:space="preserve">11,051 Million worth of </w:t>
            </w:r>
            <w:r>
              <w:rPr>
                <w:rFonts w:cs="" w:asciiTheme="majorBidi" w:cstheme="majorBidi" w:hAnsiTheme="majorBidi"/>
                <w:lang w:val="en-IN"/>
              </w:rPr>
              <w:t xml:space="preserve">Textiles </w:t>
            </w:r>
            <w:r>
              <w:rPr>
                <w:rFonts w:cs="" w:asciiTheme="majorBidi" w:cstheme="majorBidi" w:hAnsiTheme="majorBidi"/>
              </w:rPr>
              <w:t>Where India exported around US$ 632 thousands worth of textiles &amp; clothing products to Egypt with 5.7 % share during (April23 – March 24).</w:t>
            </w:r>
          </w:p>
        </w:tc>
      </w:tr>
      <w:tr>
        <w:trPr>
          <w:trHeight w:val="342" w:hRule="atLeast"/>
        </w:trPr>
        <w:tc>
          <w:tcPr>
            <w:tcW w:w="888" w:type="dxa"/>
            <w:tcBorders>
              <w:top w:val="single" w:sz="2" w:space="0" w:color="000001"/>
              <w:left w:val="single" w:sz="2" w:space="0" w:color="000001"/>
              <w:bottom w:val="single" w:sz="2" w:space="0" w:color="000001"/>
            </w:tcBorders>
            <w:shd w:color="auto" w:fill="FFFFFF" w:val="clear"/>
          </w:tcPr>
          <w:p>
            <w:pPr>
              <w:pStyle w:val="TableContents"/>
              <w:widowControl w:val="false"/>
              <w:spacing w:lineRule="atLeast" w:line="285"/>
              <w:ind w:left="58" w:hanging="0"/>
              <w:jc w:val="both"/>
              <w:rPr>
                <w:rFonts w:cs="" w:asciiTheme="majorBidi" w:cstheme="majorBidi" w:hAnsiTheme="majorBidi"/>
                <w:color w:val="auto"/>
              </w:rPr>
            </w:pPr>
            <w:r>
              <w:rPr>
                <w:rFonts w:cs="" w:asciiTheme="majorBidi" w:cstheme="majorBidi" w:hAnsiTheme="majorBidi"/>
                <w:color w:val="auto"/>
                <w:lang w:val="en-IN"/>
              </w:rPr>
              <w:t>(ii)</w:t>
            </w:r>
          </w:p>
        </w:tc>
        <w:tc>
          <w:tcPr>
            <w:tcW w:w="2168" w:type="dxa"/>
            <w:tcBorders>
              <w:top w:val="single" w:sz="2" w:space="0" w:color="000001"/>
              <w:left w:val="single" w:sz="2" w:space="0" w:color="000001"/>
              <w:bottom w:val="single" w:sz="2" w:space="0" w:color="000001"/>
            </w:tcBorders>
            <w:shd w:color="auto" w:fill="FFFFFF" w:val="clear"/>
          </w:tcPr>
          <w:p>
            <w:pPr>
              <w:pStyle w:val="TableContents"/>
              <w:widowControl w:val="false"/>
              <w:spacing w:lineRule="atLeast" w:line="285"/>
              <w:ind w:left="58" w:hanging="0"/>
              <w:jc w:val="both"/>
              <w:rPr>
                <w:rFonts w:cs="" w:asciiTheme="majorBidi" w:cstheme="majorBidi" w:hAnsiTheme="majorBidi"/>
                <w:color w:val="auto"/>
                <w:lang w:val="en-IN"/>
              </w:rPr>
            </w:pPr>
            <w:r>
              <w:rPr>
                <w:rFonts w:cs="" w:asciiTheme="majorBidi" w:cstheme="majorBidi" w:hAnsiTheme="majorBidi"/>
                <w:color w:val="auto"/>
                <w:lang w:val="en-IN"/>
              </w:rPr>
              <w:t>Pharmaceuticals</w:t>
            </w:r>
          </w:p>
          <w:p>
            <w:pPr>
              <w:pStyle w:val="TableContents"/>
              <w:widowControl w:val="false"/>
              <w:spacing w:lineRule="atLeast" w:line="285"/>
              <w:ind w:left="58" w:hanging="0"/>
              <w:jc w:val="both"/>
              <w:rPr>
                <w:rFonts w:cs="" w:asciiTheme="majorBidi" w:cstheme="majorBidi" w:hAnsiTheme="majorBidi"/>
                <w:color w:val="auto"/>
              </w:rPr>
            </w:pPr>
            <w:r>
              <w:rPr>
                <w:rFonts w:cs="" w:asciiTheme="majorBidi" w:cstheme="majorBidi" w:hAnsiTheme="majorBidi"/>
                <w:color w:val="auto"/>
                <w:lang w:val="en-IN"/>
              </w:rPr>
              <w:t>(3006)</w:t>
            </w:r>
          </w:p>
          <w:p>
            <w:pPr>
              <w:pStyle w:val="TableContents"/>
              <w:widowControl w:val="false"/>
              <w:spacing w:lineRule="atLeast" w:line="285"/>
              <w:ind w:left="58" w:hanging="0"/>
              <w:jc w:val="both"/>
              <w:rPr>
                <w:rFonts w:cs="" w:asciiTheme="majorBidi" w:cstheme="majorBidi" w:hAnsiTheme="majorBidi"/>
                <w:color w:val="auto"/>
              </w:rPr>
            </w:pPr>
            <w:r>
              <w:rPr>
                <w:rFonts w:cs="" w:asciiTheme="majorBidi" w:cstheme="majorBidi" w:hAnsiTheme="majorBidi"/>
                <w:color w:val="auto"/>
              </w:rPr>
            </w:r>
          </w:p>
        </w:tc>
        <w:tc>
          <w:tcPr>
            <w:tcW w:w="7560" w:type="dxa"/>
            <w:tcBorders>
              <w:top w:val="single" w:sz="2" w:space="0" w:color="000001"/>
              <w:left w:val="single" w:sz="2" w:space="0" w:color="000001"/>
              <w:bottom w:val="single" w:sz="2" w:space="0" w:color="000001"/>
              <w:right w:val="single" w:sz="2" w:space="0" w:color="000001"/>
            </w:tcBorders>
            <w:shd w:color="auto" w:fill="FFFFFF" w:val="clear"/>
          </w:tcPr>
          <w:p>
            <w:pPr>
              <w:pStyle w:val="Normal"/>
              <w:widowControl w:val="false"/>
              <w:jc w:val="both"/>
              <w:rPr>
                <w:rFonts w:cs="" w:asciiTheme="majorBidi" w:cstheme="majorBidi" w:hAnsiTheme="majorBidi"/>
              </w:rPr>
            </w:pPr>
            <w:r>
              <w:rPr>
                <w:rFonts w:cs="" w:asciiTheme="majorBidi" w:cstheme="majorBidi" w:hAnsiTheme="majorBidi"/>
              </w:rPr>
              <w:t xml:space="preserve">India is not among the 22 reference countries in the GMP model of registration followed by Egypt. Therefore, there are several restrictions in importing Indian drug formulations without prior approvals from the Egyptian authorities. There are currently Three Indian investments in pharmaceutical sector in Egypt viz. Sun Pharma, Pharmed Healthcare and Serum Vaccines that are mostly manufacturing generics. There is scope for more joint collaborations between Indian and Egyptian Pharma companies in Egypt. </w:t>
            </w:r>
          </w:p>
          <w:p>
            <w:pPr>
              <w:pStyle w:val="Normal"/>
              <w:widowControl w:val="false"/>
              <w:jc w:val="both"/>
              <w:rPr>
                <w:rFonts w:cs="" w:asciiTheme="majorBidi" w:cstheme="majorBidi" w:hAnsiTheme="majorBidi"/>
              </w:rPr>
            </w:pPr>
            <w:r>
              <w:rPr>
                <w:rFonts w:cs="" w:asciiTheme="majorBidi" w:cstheme="majorBidi" w:hAnsiTheme="majorBidi"/>
              </w:rPr>
            </w:r>
          </w:p>
          <w:p>
            <w:pPr>
              <w:pStyle w:val="TableContents"/>
              <w:widowControl w:val="false"/>
              <w:spacing w:lineRule="atLeast" w:line="285"/>
              <w:ind w:left="58" w:hanging="0"/>
              <w:jc w:val="both"/>
              <w:rPr>
                <w:rFonts w:cs="" w:asciiTheme="majorBidi" w:cstheme="majorBidi" w:hAnsiTheme="majorBidi"/>
              </w:rPr>
            </w:pPr>
            <w:r>
              <w:rPr>
                <w:rFonts w:cs="" w:asciiTheme="majorBidi" w:cstheme="majorBidi" w:hAnsiTheme="majorBidi"/>
                <w:color w:val="auto"/>
              </w:rPr>
              <w:t xml:space="preserve">Egypt imported USD </w:t>
              <w:tab/>
              <w:t xml:space="preserve">51,108 Million worth of </w:t>
            </w:r>
            <w:r>
              <w:rPr>
                <w:rFonts w:cs="" w:asciiTheme="majorBidi" w:cstheme="majorBidi" w:hAnsiTheme="majorBidi"/>
                <w:color w:val="auto"/>
                <w:lang w:val="en-IN"/>
              </w:rPr>
              <w:t xml:space="preserve">Pharmaceuticals </w:t>
            </w:r>
            <w:r>
              <w:rPr>
                <w:rFonts w:cs="" w:asciiTheme="majorBidi" w:cstheme="majorBidi" w:hAnsiTheme="majorBidi"/>
              </w:rPr>
              <w:t>Where India exported US$ 1,694</w:t>
            </w:r>
            <w:r>
              <w:rPr>
                <w:rFonts w:cs="" w:asciiTheme="majorBidi" w:cstheme="majorBidi" w:hAnsiTheme="majorBidi"/>
                <w:color w:val="auto"/>
              </w:rPr>
              <w:t xml:space="preserve"> Million</w:t>
            </w:r>
            <w:r>
              <w:rPr>
                <w:rFonts w:cs="" w:asciiTheme="majorBidi" w:cstheme="majorBidi" w:hAnsiTheme="majorBidi"/>
              </w:rPr>
              <w:t xml:space="preserve"> to Egypt with 3.3% share during (April23 – March 24)</w:t>
            </w:r>
          </w:p>
        </w:tc>
      </w:tr>
      <w:tr>
        <w:trPr>
          <w:trHeight w:val="2005" w:hRule="atLeast"/>
        </w:trPr>
        <w:tc>
          <w:tcPr>
            <w:tcW w:w="888" w:type="dxa"/>
            <w:tcBorders>
              <w:top w:val="single" w:sz="2" w:space="0" w:color="000001"/>
              <w:left w:val="single" w:sz="2" w:space="0" w:color="000001"/>
              <w:bottom w:val="single" w:sz="2" w:space="0" w:color="000001"/>
            </w:tcBorders>
            <w:shd w:color="auto" w:fill="FFFFFF" w:val="clear"/>
          </w:tcPr>
          <w:p>
            <w:pPr>
              <w:pStyle w:val="TableContents"/>
              <w:widowControl w:val="false"/>
              <w:spacing w:lineRule="atLeast" w:line="285"/>
              <w:ind w:left="58" w:hanging="0"/>
              <w:jc w:val="both"/>
              <w:rPr>
                <w:rFonts w:cs="" w:asciiTheme="majorBidi" w:cstheme="majorBidi" w:hAnsiTheme="majorBidi"/>
                <w:color w:val="auto"/>
              </w:rPr>
            </w:pPr>
            <w:r>
              <w:rPr>
                <w:rFonts w:cs="" w:asciiTheme="majorBidi" w:cstheme="majorBidi" w:hAnsiTheme="majorBidi"/>
                <w:color w:val="auto"/>
                <w:lang w:val="en-IN"/>
              </w:rPr>
              <w:t>(iii)</w:t>
            </w:r>
          </w:p>
        </w:tc>
        <w:tc>
          <w:tcPr>
            <w:tcW w:w="2168" w:type="dxa"/>
            <w:tcBorders>
              <w:top w:val="single" w:sz="2" w:space="0" w:color="000001"/>
              <w:left w:val="single" w:sz="2" w:space="0" w:color="000001"/>
              <w:bottom w:val="single" w:sz="2" w:space="0" w:color="000001"/>
            </w:tcBorders>
            <w:shd w:color="auto" w:fill="FFFFFF" w:val="clear"/>
          </w:tcPr>
          <w:p>
            <w:pPr>
              <w:pStyle w:val="TableContents"/>
              <w:widowControl w:val="false"/>
              <w:spacing w:lineRule="atLeast" w:line="285"/>
              <w:ind w:left="58" w:hanging="0"/>
              <w:jc w:val="both"/>
              <w:rPr>
                <w:rFonts w:cs="" w:asciiTheme="majorBidi" w:cstheme="majorBidi" w:hAnsiTheme="majorBidi"/>
                <w:color w:val="auto"/>
              </w:rPr>
            </w:pPr>
            <w:r>
              <w:rPr>
                <w:rFonts w:cs="" w:asciiTheme="majorBidi" w:cstheme="majorBidi" w:hAnsiTheme="majorBidi"/>
                <w:color w:val="auto"/>
                <w:lang w:val="en-IN"/>
              </w:rPr>
              <w:t>Automobile and auto components</w:t>
            </w:r>
          </w:p>
          <w:p>
            <w:pPr>
              <w:pStyle w:val="TableContents"/>
              <w:widowControl w:val="false"/>
              <w:spacing w:lineRule="atLeast" w:line="285"/>
              <w:ind w:left="58" w:hanging="0"/>
              <w:jc w:val="both"/>
              <w:rPr>
                <w:rFonts w:cs="" w:asciiTheme="majorBidi" w:cstheme="majorBidi" w:hAnsiTheme="majorBidi"/>
                <w:color w:val="auto"/>
              </w:rPr>
            </w:pPr>
            <w:r>
              <w:rPr>
                <w:rFonts w:cs="" w:asciiTheme="majorBidi" w:cstheme="majorBidi" w:hAnsiTheme="majorBidi"/>
                <w:color w:val="auto"/>
                <w:lang w:val="en-IN"/>
              </w:rPr>
              <w:t>(8708)</w:t>
            </w:r>
          </w:p>
          <w:p>
            <w:pPr>
              <w:pStyle w:val="TableContents"/>
              <w:widowControl w:val="false"/>
              <w:spacing w:lineRule="atLeast" w:line="285"/>
              <w:ind w:left="58" w:hanging="0"/>
              <w:jc w:val="both"/>
              <w:rPr>
                <w:rFonts w:cs="" w:asciiTheme="majorBidi" w:cstheme="majorBidi" w:hAnsiTheme="majorBidi"/>
                <w:color w:val="auto"/>
              </w:rPr>
            </w:pPr>
            <w:r>
              <w:rPr>
                <w:rFonts w:cs="" w:asciiTheme="majorBidi" w:cstheme="majorBidi" w:hAnsiTheme="majorBidi"/>
                <w:color w:val="auto"/>
              </w:rPr>
            </w:r>
          </w:p>
        </w:tc>
        <w:tc>
          <w:tcPr>
            <w:tcW w:w="7560" w:type="dxa"/>
            <w:tcBorders>
              <w:top w:val="single" w:sz="2" w:space="0" w:color="000001"/>
              <w:left w:val="single" w:sz="2" w:space="0" w:color="000001"/>
              <w:bottom w:val="single" w:sz="2" w:space="0" w:color="000001"/>
              <w:right w:val="single" w:sz="2" w:space="0" w:color="000001"/>
            </w:tcBorders>
            <w:shd w:color="auto" w:fill="FFFFFF" w:val="clear"/>
          </w:tcPr>
          <w:p>
            <w:pPr>
              <w:pStyle w:val="TableContents"/>
              <w:widowControl w:val="false"/>
              <w:ind w:left="58" w:hanging="0"/>
              <w:jc w:val="both"/>
              <w:rPr>
                <w:rFonts w:cs="" w:asciiTheme="majorBidi" w:cstheme="majorBidi" w:hAnsiTheme="majorBidi"/>
                <w:color w:val="auto"/>
              </w:rPr>
            </w:pPr>
            <w:r>
              <w:rPr>
                <w:rFonts w:cs="" w:asciiTheme="majorBidi" w:cstheme="majorBidi" w:hAnsiTheme="majorBidi"/>
                <w:color w:val="auto"/>
              </w:rPr>
              <w:t>According to the Automotive Information Council (AMIC) Sales in the Egyptian automotive market have dropped by 75 per cent on an annual basis Fewer than 5,400 vehicles were sold in January 2023, down from 21,200 vehicles in January 2022.</w:t>
            </w:r>
          </w:p>
          <w:p>
            <w:pPr>
              <w:pStyle w:val="TableContents"/>
              <w:widowControl w:val="false"/>
              <w:ind w:left="58" w:hanging="0"/>
              <w:jc w:val="both"/>
              <w:rPr>
                <w:rFonts w:cs="" w:asciiTheme="majorBidi" w:cstheme="majorBidi" w:hAnsiTheme="majorBidi"/>
                <w:color w:val="auto"/>
              </w:rPr>
            </w:pPr>
            <w:r>
              <w:rPr>
                <w:rFonts w:cs="" w:asciiTheme="majorBidi" w:cstheme="majorBidi" w:hAnsiTheme="majorBidi"/>
                <w:color w:val="auto"/>
              </w:rPr>
              <w:t>Some of the reasons for reduced car sales are:</w:t>
            </w:r>
          </w:p>
          <w:p>
            <w:pPr>
              <w:pStyle w:val="TableContents"/>
              <w:widowControl w:val="false"/>
              <w:numPr>
                <w:ilvl w:val="0"/>
                <w:numId w:val="2"/>
              </w:numPr>
              <w:ind w:left="310" w:hanging="252"/>
              <w:jc w:val="both"/>
              <w:rPr>
                <w:rFonts w:cs="" w:asciiTheme="majorBidi" w:cstheme="majorBidi" w:hAnsiTheme="majorBidi"/>
                <w:color w:val="auto"/>
              </w:rPr>
            </w:pPr>
            <w:r>
              <w:rPr>
                <w:rFonts w:cs="" w:asciiTheme="majorBidi" w:cstheme="majorBidi" w:hAnsiTheme="majorBidi"/>
                <w:color w:val="auto"/>
              </w:rPr>
              <w:t>Very high inflation hitting Egyptian purchasing power, the automotive sector is yet to struggle amid a plethora of national and international obstacles.</w:t>
            </w:r>
          </w:p>
          <w:p>
            <w:pPr>
              <w:pStyle w:val="TableContents"/>
              <w:widowControl w:val="false"/>
              <w:numPr>
                <w:ilvl w:val="0"/>
                <w:numId w:val="2"/>
              </w:numPr>
              <w:ind w:left="310" w:hanging="252"/>
              <w:jc w:val="both"/>
              <w:rPr>
                <w:rFonts w:cs="" w:asciiTheme="majorBidi" w:cstheme="majorBidi" w:hAnsiTheme="majorBidi"/>
                <w:color w:val="auto"/>
              </w:rPr>
            </w:pPr>
            <w:r>
              <w:rPr>
                <w:rFonts w:cs="" w:asciiTheme="majorBidi" w:cstheme="majorBidi" w:hAnsiTheme="majorBidi"/>
                <w:color w:val="auto"/>
              </w:rPr>
              <w:t>Economic repercussions of the pandemic and the Russian-Ukrainian conflict hamper the world economy; the government’s measures to address these challenges have resulted in a protracted crisis in the automotive market.</w:t>
            </w:r>
          </w:p>
          <w:p>
            <w:pPr>
              <w:pStyle w:val="TableContents"/>
              <w:widowControl w:val="false"/>
              <w:ind w:left="58" w:hanging="0"/>
              <w:jc w:val="both"/>
              <w:rPr>
                <w:rFonts w:cs="" w:asciiTheme="majorBidi" w:cstheme="majorBidi" w:hAnsiTheme="majorBidi"/>
                <w:color w:val="auto"/>
              </w:rPr>
            </w:pPr>
            <w:r>
              <w:rPr>
                <w:rFonts w:cs="" w:asciiTheme="majorBidi" w:cstheme="majorBidi" w:hAnsiTheme="majorBidi"/>
                <w:color w:val="auto"/>
              </w:rPr>
              <w:t>After the automobile market revives in Egypt, India would have a competitive advantage of its automobiles than other countries due to their reasonable car prices; Bajaj already has a partnership with Ghabbour of Egypt for CKD assembly of two and three wheelers for Egyptian markets.</w:t>
            </w:r>
          </w:p>
          <w:p>
            <w:pPr>
              <w:pStyle w:val="TableContents"/>
              <w:widowControl w:val="false"/>
              <w:ind w:left="58" w:hanging="0"/>
              <w:jc w:val="both"/>
              <w:rPr>
                <w:rFonts w:cs="" w:asciiTheme="majorBidi" w:cstheme="majorBidi" w:hAnsiTheme="majorBidi"/>
                <w:color w:val="auto"/>
              </w:rPr>
            </w:pPr>
            <w:r>
              <w:rPr>
                <w:rFonts w:cs="" w:asciiTheme="majorBidi" w:cstheme="majorBidi" w:hAnsiTheme="majorBidi"/>
                <w:color w:val="auto"/>
              </w:rPr>
            </w:r>
          </w:p>
          <w:p>
            <w:pPr>
              <w:pStyle w:val="TableContents"/>
              <w:widowControl w:val="false"/>
              <w:ind w:left="58" w:hanging="0"/>
              <w:jc w:val="both"/>
              <w:rPr>
                <w:rFonts w:cs="" w:asciiTheme="majorBidi" w:cstheme="majorBidi" w:hAnsiTheme="majorBidi"/>
                <w:color w:val="auto"/>
              </w:rPr>
            </w:pPr>
            <w:r>
              <w:rPr>
                <w:rFonts w:cs="" w:asciiTheme="majorBidi" w:cstheme="majorBidi" w:hAnsiTheme="majorBidi"/>
                <w:color w:val="auto"/>
              </w:rPr>
              <w:t xml:space="preserve">Egypt imported USD </w:t>
              <w:tab/>
              <w:t xml:space="preserve">458,452 Million worth of </w:t>
            </w:r>
            <w:r>
              <w:rPr>
                <w:rFonts w:cs="" w:asciiTheme="majorBidi" w:cstheme="majorBidi" w:hAnsiTheme="majorBidi"/>
                <w:color w:val="auto"/>
                <w:lang w:val="en-IN"/>
              </w:rPr>
              <w:t>Automobile and auto components</w:t>
            </w:r>
          </w:p>
          <w:p>
            <w:pPr>
              <w:pStyle w:val="TableContents"/>
              <w:widowControl w:val="false"/>
              <w:spacing w:lineRule="atLeast" w:line="285"/>
              <w:ind w:left="58" w:hanging="0"/>
              <w:jc w:val="both"/>
              <w:rPr>
                <w:rFonts w:cs="" w:asciiTheme="majorBidi" w:cstheme="majorBidi" w:hAnsiTheme="majorBidi"/>
              </w:rPr>
            </w:pPr>
            <w:r>
              <w:rPr>
                <w:rFonts w:cs="" w:asciiTheme="majorBidi" w:cstheme="majorBidi" w:hAnsiTheme="majorBidi"/>
              </w:rPr>
              <w:t>Where India exported US$ 32,503</w:t>
            </w:r>
            <w:r>
              <w:rPr>
                <w:rFonts w:cs="" w:asciiTheme="majorBidi" w:cstheme="majorBidi" w:hAnsiTheme="majorBidi"/>
                <w:color w:val="auto"/>
              </w:rPr>
              <w:t xml:space="preserve"> million</w:t>
            </w:r>
            <w:r>
              <w:rPr>
                <w:rFonts w:cs="" w:asciiTheme="majorBidi" w:cstheme="majorBidi" w:hAnsiTheme="majorBidi"/>
              </w:rPr>
              <w:t xml:space="preserve"> to Egypt with 7.1% share during (April23 – March 24)</w:t>
            </w:r>
          </w:p>
        </w:tc>
      </w:tr>
      <w:tr>
        <w:trPr>
          <w:trHeight w:val="35" w:hRule="atLeast"/>
        </w:trPr>
        <w:tc>
          <w:tcPr>
            <w:tcW w:w="888" w:type="dxa"/>
            <w:tcBorders>
              <w:top w:val="single" w:sz="2" w:space="0" w:color="000001"/>
              <w:left w:val="single" w:sz="2" w:space="0" w:color="000001"/>
              <w:bottom w:val="single" w:sz="2" w:space="0" w:color="000001"/>
            </w:tcBorders>
            <w:shd w:color="auto" w:fill="FFFFFF" w:val="clear"/>
          </w:tcPr>
          <w:p>
            <w:pPr>
              <w:pStyle w:val="TableContents"/>
              <w:widowControl w:val="false"/>
              <w:spacing w:lineRule="atLeast" w:line="285"/>
              <w:ind w:left="58" w:hanging="0"/>
              <w:jc w:val="both"/>
              <w:rPr>
                <w:rFonts w:cs="" w:asciiTheme="majorBidi" w:cstheme="majorBidi" w:hAnsiTheme="majorBidi"/>
                <w:color w:val="auto"/>
              </w:rPr>
            </w:pPr>
            <w:r>
              <w:rPr>
                <w:rFonts w:cs="" w:asciiTheme="majorBidi" w:cstheme="majorBidi" w:hAnsiTheme="majorBidi"/>
                <w:color w:val="auto"/>
                <w:lang w:val="en-IN"/>
              </w:rPr>
              <w:t>(iv)</w:t>
            </w:r>
          </w:p>
        </w:tc>
        <w:tc>
          <w:tcPr>
            <w:tcW w:w="2168" w:type="dxa"/>
            <w:tcBorders>
              <w:top w:val="single" w:sz="2" w:space="0" w:color="000001"/>
              <w:left w:val="single" w:sz="2" w:space="0" w:color="000001"/>
              <w:bottom w:val="single" w:sz="2" w:space="0" w:color="000001"/>
            </w:tcBorders>
            <w:shd w:color="auto" w:fill="FFFFFF" w:val="clear"/>
          </w:tcPr>
          <w:p>
            <w:pPr>
              <w:pStyle w:val="TableContents"/>
              <w:widowControl w:val="false"/>
              <w:spacing w:lineRule="atLeast" w:line="285"/>
              <w:ind w:left="58" w:hanging="0"/>
              <w:jc w:val="both"/>
              <w:rPr>
                <w:rFonts w:cs="" w:asciiTheme="majorBidi" w:cstheme="majorBidi" w:hAnsiTheme="majorBidi"/>
                <w:color w:val="auto"/>
              </w:rPr>
            </w:pPr>
            <w:r>
              <w:rPr>
                <w:rFonts w:cs="" w:asciiTheme="majorBidi" w:cstheme="majorBidi" w:hAnsiTheme="majorBidi"/>
                <w:color w:val="auto"/>
                <w:lang w:val="en-IN"/>
              </w:rPr>
              <w:t>Argo products</w:t>
            </w:r>
          </w:p>
          <w:p>
            <w:pPr>
              <w:pStyle w:val="TableContents"/>
              <w:widowControl w:val="false"/>
              <w:spacing w:lineRule="atLeast" w:line="285"/>
              <w:ind w:left="58" w:hanging="0"/>
              <w:jc w:val="both"/>
              <w:rPr>
                <w:rFonts w:cs="" w:asciiTheme="majorBidi" w:cstheme="majorBidi" w:hAnsiTheme="majorBidi"/>
                <w:color w:val="auto"/>
              </w:rPr>
            </w:pPr>
            <w:r>
              <w:rPr>
                <w:rFonts w:cs="" w:asciiTheme="majorBidi" w:cstheme="majorBidi" w:hAnsiTheme="majorBidi"/>
                <w:color w:val="auto"/>
                <w:lang w:val="en-IN"/>
              </w:rPr>
              <w:t>(I) Wheat (1001)</w:t>
            </w:r>
          </w:p>
          <w:p>
            <w:pPr>
              <w:pStyle w:val="TableContents"/>
              <w:widowControl w:val="false"/>
              <w:spacing w:lineRule="atLeast" w:line="285"/>
              <w:jc w:val="both"/>
              <w:rPr>
                <w:rFonts w:cs="" w:asciiTheme="majorBidi" w:cstheme="majorBidi" w:hAnsiTheme="majorBidi"/>
                <w:color w:val="auto"/>
                <w:lang w:val="en-IN"/>
              </w:rPr>
            </w:pPr>
            <w:r>
              <w:rPr>
                <w:rFonts w:cs="" w:asciiTheme="majorBidi" w:cstheme="majorBidi" w:hAnsiTheme="majorBidi"/>
                <w:color w:val="auto"/>
                <w:lang w:val="en-IN"/>
              </w:rPr>
            </w:r>
          </w:p>
          <w:p>
            <w:pPr>
              <w:pStyle w:val="TableContents"/>
              <w:widowControl w:val="false"/>
              <w:spacing w:lineRule="atLeast" w:line="285"/>
              <w:jc w:val="both"/>
              <w:rPr>
                <w:rFonts w:cs="" w:asciiTheme="majorBidi" w:cstheme="majorBidi" w:hAnsiTheme="majorBidi"/>
                <w:color w:val="auto"/>
                <w:lang w:val="en-IN"/>
              </w:rPr>
            </w:pPr>
            <w:r>
              <w:rPr>
                <w:rFonts w:cs="" w:asciiTheme="majorBidi" w:cstheme="majorBidi" w:hAnsiTheme="majorBidi"/>
                <w:color w:val="auto"/>
                <w:lang w:val="en-IN"/>
              </w:rPr>
            </w:r>
          </w:p>
          <w:p>
            <w:pPr>
              <w:pStyle w:val="TableContents"/>
              <w:widowControl w:val="false"/>
              <w:spacing w:lineRule="atLeast" w:line="285"/>
              <w:jc w:val="both"/>
              <w:rPr>
                <w:rFonts w:cs="" w:asciiTheme="majorBidi" w:cstheme="majorBidi" w:hAnsiTheme="majorBidi"/>
                <w:color w:val="auto"/>
                <w:lang w:val="en-IN"/>
              </w:rPr>
            </w:pPr>
            <w:r>
              <w:rPr>
                <w:rFonts w:cs="" w:asciiTheme="majorBidi" w:cstheme="majorBidi" w:hAnsiTheme="majorBidi"/>
                <w:color w:val="auto"/>
                <w:lang w:val="en-IN"/>
              </w:rPr>
            </w:r>
          </w:p>
          <w:p>
            <w:pPr>
              <w:pStyle w:val="TableContents"/>
              <w:widowControl w:val="false"/>
              <w:spacing w:lineRule="atLeast" w:line="285"/>
              <w:jc w:val="both"/>
              <w:rPr>
                <w:rFonts w:cs="" w:asciiTheme="majorBidi" w:cstheme="majorBidi" w:hAnsiTheme="majorBidi"/>
                <w:color w:val="auto"/>
                <w:lang w:val="en-IN"/>
              </w:rPr>
            </w:pPr>
            <w:r>
              <w:rPr>
                <w:rFonts w:cs="" w:asciiTheme="majorBidi" w:cstheme="majorBidi" w:hAnsiTheme="majorBidi"/>
                <w:color w:val="auto"/>
                <w:lang w:val="en-IN"/>
              </w:rPr>
            </w:r>
          </w:p>
          <w:p>
            <w:pPr>
              <w:pStyle w:val="TableContents"/>
              <w:widowControl w:val="false"/>
              <w:spacing w:lineRule="atLeast" w:line="285"/>
              <w:ind w:left="58" w:hanging="0"/>
              <w:jc w:val="both"/>
              <w:rPr>
                <w:rFonts w:cs="" w:asciiTheme="majorBidi" w:cstheme="majorBidi" w:hAnsiTheme="majorBidi"/>
                <w:color w:val="auto"/>
              </w:rPr>
            </w:pPr>
            <w:r>
              <w:rPr>
                <w:rFonts w:cs="" w:asciiTheme="majorBidi" w:cstheme="majorBidi" w:hAnsiTheme="majorBidi"/>
                <w:color w:val="auto"/>
                <w:lang w:val="en-IN"/>
              </w:rPr>
              <w:t>(II)  Rice (1006)</w:t>
            </w:r>
          </w:p>
          <w:p>
            <w:pPr>
              <w:pStyle w:val="TableContents"/>
              <w:widowControl w:val="false"/>
              <w:spacing w:lineRule="atLeast" w:line="285"/>
              <w:ind w:left="58" w:hanging="0"/>
              <w:jc w:val="both"/>
              <w:rPr>
                <w:rFonts w:cs="" w:asciiTheme="majorBidi" w:cstheme="majorBidi" w:hAnsiTheme="majorBidi"/>
                <w:color w:val="auto"/>
              </w:rPr>
            </w:pPr>
            <w:r>
              <w:rPr>
                <w:rFonts w:cs="" w:asciiTheme="majorBidi" w:cstheme="majorBidi" w:hAnsiTheme="majorBidi"/>
                <w:color w:val="auto"/>
              </w:rPr>
            </w:r>
          </w:p>
          <w:p>
            <w:pPr>
              <w:pStyle w:val="TableContents"/>
              <w:widowControl w:val="false"/>
              <w:spacing w:lineRule="atLeast" w:line="285"/>
              <w:ind w:left="58" w:hanging="0"/>
              <w:jc w:val="both"/>
              <w:rPr>
                <w:rFonts w:cs="" w:asciiTheme="majorBidi" w:cstheme="majorBidi" w:hAnsiTheme="majorBidi"/>
                <w:color w:val="auto"/>
              </w:rPr>
            </w:pPr>
            <w:r>
              <w:rPr>
                <w:rFonts w:cs="" w:asciiTheme="majorBidi" w:cstheme="majorBidi" w:hAnsiTheme="majorBidi"/>
                <w:color w:val="auto"/>
              </w:rPr>
            </w:r>
          </w:p>
          <w:p>
            <w:pPr>
              <w:pStyle w:val="TableContents"/>
              <w:widowControl w:val="false"/>
              <w:spacing w:lineRule="atLeast" w:line="285"/>
              <w:ind w:left="58" w:hanging="0"/>
              <w:jc w:val="both"/>
              <w:rPr>
                <w:rFonts w:cs="" w:asciiTheme="majorBidi" w:cstheme="majorBidi" w:hAnsiTheme="majorBidi"/>
                <w:color w:val="auto"/>
              </w:rPr>
            </w:pPr>
            <w:r>
              <w:rPr>
                <w:rFonts w:cs="" w:asciiTheme="majorBidi" w:cstheme="majorBidi" w:hAnsiTheme="majorBidi"/>
                <w:color w:val="auto"/>
              </w:rPr>
            </w:r>
          </w:p>
          <w:p>
            <w:pPr>
              <w:pStyle w:val="TableContents"/>
              <w:widowControl w:val="false"/>
              <w:spacing w:lineRule="atLeast" w:line="285"/>
              <w:ind w:left="58" w:hanging="0"/>
              <w:jc w:val="both"/>
              <w:rPr>
                <w:rFonts w:cs="" w:asciiTheme="majorBidi" w:cstheme="majorBidi" w:hAnsiTheme="majorBidi"/>
                <w:color w:val="auto"/>
              </w:rPr>
            </w:pPr>
            <w:r>
              <w:rPr>
                <w:rFonts w:cs="" w:asciiTheme="majorBidi" w:cstheme="majorBidi" w:hAnsiTheme="majorBidi"/>
                <w:color w:val="auto"/>
              </w:rPr>
            </w:r>
          </w:p>
          <w:p>
            <w:pPr>
              <w:pStyle w:val="TableContents"/>
              <w:widowControl w:val="false"/>
              <w:spacing w:lineRule="atLeast" w:line="285"/>
              <w:jc w:val="both"/>
              <w:rPr>
                <w:rFonts w:cs="" w:asciiTheme="majorBidi" w:cstheme="majorBidi" w:hAnsiTheme="majorBidi"/>
                <w:color w:val="auto"/>
              </w:rPr>
            </w:pPr>
            <w:r>
              <w:rPr>
                <w:rFonts w:cs="" w:asciiTheme="majorBidi" w:cstheme="majorBidi" w:hAnsiTheme="majorBidi"/>
                <w:color w:val="auto"/>
              </w:rPr>
            </w:r>
          </w:p>
          <w:p>
            <w:pPr>
              <w:pStyle w:val="TableContents"/>
              <w:widowControl w:val="false"/>
              <w:spacing w:lineRule="atLeast" w:line="285"/>
              <w:jc w:val="both"/>
              <w:rPr>
                <w:rFonts w:cs="" w:asciiTheme="majorBidi" w:cstheme="majorBidi" w:hAnsiTheme="majorBidi"/>
                <w:color w:val="auto"/>
              </w:rPr>
            </w:pPr>
            <w:r>
              <w:rPr>
                <w:rFonts w:cs="" w:asciiTheme="majorBidi" w:cstheme="majorBidi" w:hAnsiTheme="majorBidi"/>
                <w:color w:val="auto"/>
              </w:rPr>
            </w:r>
          </w:p>
          <w:p>
            <w:pPr>
              <w:pStyle w:val="TableContents"/>
              <w:widowControl w:val="false"/>
              <w:spacing w:lineRule="atLeast" w:line="285"/>
              <w:jc w:val="both"/>
              <w:rPr>
                <w:rFonts w:cs="" w:asciiTheme="majorBidi" w:cstheme="majorBidi" w:hAnsiTheme="majorBidi"/>
                <w:color w:val="auto"/>
              </w:rPr>
            </w:pPr>
            <w:r>
              <w:rPr>
                <w:rFonts w:cs="" w:asciiTheme="majorBidi" w:cstheme="majorBidi" w:hAnsiTheme="majorBidi"/>
                <w:color w:val="auto"/>
              </w:rPr>
            </w:r>
          </w:p>
          <w:p>
            <w:pPr>
              <w:pStyle w:val="TableContents"/>
              <w:widowControl w:val="false"/>
              <w:spacing w:lineRule="atLeast" w:line="285"/>
              <w:jc w:val="both"/>
              <w:rPr>
                <w:rFonts w:cs="" w:asciiTheme="majorBidi" w:cstheme="majorBidi" w:hAnsiTheme="majorBidi"/>
                <w:color w:val="auto"/>
              </w:rPr>
            </w:pPr>
            <w:r>
              <w:rPr>
                <w:rFonts w:cs="" w:asciiTheme="majorBidi" w:cstheme="majorBidi" w:hAnsiTheme="majorBidi"/>
                <w:color w:val="auto"/>
              </w:rPr>
            </w:r>
          </w:p>
          <w:p>
            <w:pPr>
              <w:pStyle w:val="TableContents"/>
              <w:widowControl w:val="false"/>
              <w:spacing w:lineRule="atLeast" w:line="285"/>
              <w:ind w:left="58" w:hanging="0"/>
              <w:jc w:val="both"/>
              <w:rPr>
                <w:rFonts w:cs="" w:asciiTheme="majorBidi" w:cstheme="majorBidi" w:hAnsiTheme="majorBidi"/>
                <w:color w:val="auto"/>
              </w:rPr>
            </w:pPr>
            <w:r>
              <w:rPr>
                <w:rFonts w:cs="" w:asciiTheme="majorBidi" w:cstheme="majorBidi" w:hAnsiTheme="majorBidi"/>
                <w:color w:val="auto"/>
              </w:rPr>
              <w:t xml:space="preserve">(III) Millets </w:t>
            </w:r>
          </w:p>
          <w:p>
            <w:pPr>
              <w:pStyle w:val="TableContents"/>
              <w:widowControl w:val="false"/>
              <w:spacing w:lineRule="atLeast" w:line="285"/>
              <w:ind w:left="58" w:hanging="0"/>
              <w:jc w:val="both"/>
              <w:rPr>
                <w:rFonts w:cs="" w:asciiTheme="majorBidi" w:cstheme="majorBidi" w:hAnsiTheme="majorBidi"/>
                <w:color w:val="auto"/>
              </w:rPr>
            </w:pPr>
            <w:r>
              <w:rPr>
                <w:rFonts w:cs="" w:asciiTheme="majorBidi" w:cstheme="majorBidi" w:hAnsiTheme="majorBidi"/>
                <w:color w:val="auto"/>
              </w:rPr>
            </w:r>
          </w:p>
          <w:p>
            <w:pPr>
              <w:pStyle w:val="TableContents"/>
              <w:widowControl w:val="false"/>
              <w:spacing w:lineRule="atLeast" w:line="285"/>
              <w:jc w:val="both"/>
              <w:rPr>
                <w:rFonts w:cs="" w:asciiTheme="majorBidi" w:cstheme="majorBidi" w:hAnsiTheme="majorBidi"/>
                <w:color w:val="auto"/>
              </w:rPr>
            </w:pPr>
            <w:r>
              <w:rPr>
                <w:rFonts w:cs="" w:asciiTheme="majorBidi" w:cstheme="majorBidi" w:hAnsiTheme="majorBidi"/>
                <w:color w:val="auto"/>
              </w:rPr>
            </w:r>
          </w:p>
          <w:p>
            <w:pPr>
              <w:pStyle w:val="TableContents"/>
              <w:widowControl w:val="false"/>
              <w:spacing w:lineRule="atLeast" w:line="285"/>
              <w:jc w:val="both"/>
              <w:rPr>
                <w:rFonts w:cs="" w:asciiTheme="majorBidi" w:cstheme="majorBidi" w:hAnsiTheme="majorBidi"/>
                <w:color w:val="auto"/>
              </w:rPr>
            </w:pPr>
            <w:r>
              <w:rPr>
                <w:rFonts w:cs="" w:asciiTheme="majorBidi" w:cstheme="majorBidi" w:hAnsiTheme="majorBidi"/>
                <w:color w:val="auto"/>
              </w:rPr>
            </w:r>
          </w:p>
          <w:p>
            <w:pPr>
              <w:pStyle w:val="TableContents"/>
              <w:widowControl w:val="false"/>
              <w:spacing w:lineRule="atLeast" w:line="285"/>
              <w:jc w:val="both"/>
              <w:rPr>
                <w:rFonts w:cs="" w:asciiTheme="majorBidi" w:cstheme="majorBidi" w:hAnsiTheme="majorBidi"/>
                <w:color w:val="auto"/>
              </w:rPr>
            </w:pPr>
            <w:r>
              <w:rPr>
                <w:rFonts w:cs="" w:asciiTheme="majorBidi" w:cstheme="majorBidi" w:hAnsiTheme="majorBidi"/>
                <w:color w:val="auto"/>
              </w:rPr>
            </w:r>
          </w:p>
          <w:p>
            <w:pPr>
              <w:pStyle w:val="TableContents"/>
              <w:widowControl w:val="false"/>
              <w:spacing w:lineRule="atLeast" w:line="285"/>
              <w:jc w:val="both"/>
              <w:rPr>
                <w:rFonts w:cs="" w:asciiTheme="majorBidi" w:cstheme="majorBidi" w:hAnsiTheme="majorBidi"/>
                <w:color w:val="auto"/>
                <w:lang w:val="en-IN"/>
              </w:rPr>
            </w:pPr>
            <w:r>
              <w:rPr>
                <w:rFonts w:cs="" w:asciiTheme="majorBidi" w:cstheme="majorBidi" w:hAnsiTheme="majorBidi"/>
                <w:color w:val="auto"/>
                <w:lang w:val="en-IN"/>
              </w:rPr>
              <w:t>(IV)  Tea (0902)</w:t>
            </w:r>
          </w:p>
          <w:p>
            <w:pPr>
              <w:pStyle w:val="TableContents"/>
              <w:widowControl w:val="false"/>
              <w:spacing w:lineRule="atLeast" w:line="285"/>
              <w:jc w:val="both"/>
              <w:rPr>
                <w:rFonts w:cs="" w:asciiTheme="majorBidi" w:cstheme="majorBidi" w:hAnsiTheme="majorBidi"/>
                <w:color w:val="auto"/>
                <w:lang w:val="en-IN"/>
              </w:rPr>
            </w:pPr>
            <w:r>
              <w:rPr>
                <w:rFonts w:cs="" w:asciiTheme="majorBidi" w:cstheme="majorBidi" w:hAnsiTheme="majorBidi"/>
                <w:color w:val="auto"/>
                <w:lang w:val="en-IN"/>
              </w:rPr>
            </w:r>
          </w:p>
          <w:p>
            <w:pPr>
              <w:pStyle w:val="TableContents"/>
              <w:widowControl w:val="false"/>
              <w:spacing w:lineRule="atLeast" w:line="285"/>
              <w:jc w:val="both"/>
              <w:rPr>
                <w:rFonts w:cs="" w:asciiTheme="majorBidi" w:cstheme="majorBidi" w:hAnsiTheme="majorBidi"/>
                <w:color w:val="auto"/>
                <w:lang w:val="en-IN"/>
              </w:rPr>
            </w:pPr>
            <w:r>
              <w:rPr>
                <w:rFonts w:cs="" w:asciiTheme="majorBidi" w:cstheme="majorBidi" w:hAnsiTheme="majorBidi"/>
                <w:color w:val="auto"/>
                <w:lang w:val="en-IN"/>
              </w:rPr>
            </w:r>
          </w:p>
          <w:p>
            <w:pPr>
              <w:pStyle w:val="TableContents"/>
              <w:widowControl w:val="false"/>
              <w:spacing w:lineRule="atLeast" w:line="285"/>
              <w:jc w:val="both"/>
              <w:rPr>
                <w:rFonts w:cs="" w:asciiTheme="majorBidi" w:cstheme="majorBidi" w:hAnsiTheme="majorBidi"/>
                <w:color w:val="auto"/>
                <w:lang w:val="en-IN"/>
              </w:rPr>
            </w:pPr>
            <w:r>
              <w:rPr>
                <w:rFonts w:cs="" w:asciiTheme="majorBidi" w:cstheme="majorBidi" w:hAnsiTheme="majorBidi"/>
                <w:color w:val="auto"/>
                <w:lang w:val="en-IN"/>
              </w:rPr>
            </w:r>
          </w:p>
          <w:p>
            <w:pPr>
              <w:pStyle w:val="TableContents"/>
              <w:widowControl w:val="false"/>
              <w:spacing w:lineRule="atLeast" w:line="285"/>
              <w:jc w:val="both"/>
              <w:rPr>
                <w:rFonts w:cs="" w:asciiTheme="majorBidi" w:cstheme="majorBidi" w:hAnsiTheme="majorBidi"/>
                <w:color w:val="auto"/>
              </w:rPr>
            </w:pPr>
            <w:r>
              <w:rPr>
                <w:rFonts w:cs="" w:asciiTheme="majorBidi" w:cstheme="majorBidi" w:hAnsiTheme="majorBidi"/>
                <w:color w:val="auto"/>
              </w:rPr>
            </w:r>
          </w:p>
          <w:p>
            <w:pPr>
              <w:pStyle w:val="TableContents"/>
              <w:widowControl w:val="false"/>
              <w:spacing w:lineRule="atLeast" w:line="285"/>
              <w:jc w:val="both"/>
              <w:rPr>
                <w:rFonts w:cs="" w:asciiTheme="majorBidi" w:cstheme="majorBidi" w:hAnsiTheme="majorBidi"/>
                <w:color w:val="auto"/>
              </w:rPr>
            </w:pPr>
            <w:r>
              <w:rPr>
                <w:rFonts w:cs="" w:asciiTheme="majorBidi" w:cstheme="majorBidi" w:hAnsiTheme="majorBidi"/>
                <w:color w:val="auto"/>
              </w:rPr>
            </w:r>
          </w:p>
        </w:tc>
        <w:tc>
          <w:tcPr>
            <w:tcW w:w="7560" w:type="dxa"/>
            <w:tcBorders>
              <w:top w:val="single" w:sz="2" w:space="0" w:color="000001"/>
              <w:left w:val="single" w:sz="2" w:space="0" w:color="000001"/>
              <w:bottom w:val="single" w:sz="2" w:space="0" w:color="000001"/>
              <w:right w:val="single" w:sz="2" w:space="0" w:color="000001"/>
            </w:tcBorders>
            <w:shd w:color="auto" w:fill="FFFFFF" w:val="clear"/>
          </w:tcPr>
          <w:p>
            <w:pPr>
              <w:pStyle w:val="TableContents"/>
              <w:widowControl w:val="false"/>
              <w:spacing w:lineRule="atLeast" w:line="285"/>
              <w:jc w:val="both"/>
              <w:rPr>
                <w:rFonts w:cs="" w:asciiTheme="majorBidi" w:cstheme="majorBidi" w:hAnsiTheme="majorBidi"/>
                <w:color w:val="auto"/>
              </w:rPr>
            </w:pPr>
            <w:r>
              <w:rPr>
                <w:rFonts w:cs="" w:asciiTheme="majorBidi" w:cstheme="majorBidi" w:hAnsiTheme="majorBidi"/>
                <w:color w:val="auto"/>
              </w:rPr>
              <w:t>During (April23 – March</w:t>
            </w:r>
            <w:r>
              <w:rPr>
                <w:rFonts w:cs="" w:asciiTheme="majorBidi" w:cstheme="majorBidi" w:hAnsiTheme="majorBidi"/>
              </w:rPr>
              <w:t xml:space="preserve"> </w:t>
            </w:r>
            <w:r>
              <w:rPr>
                <w:rFonts w:cs="" w:asciiTheme="majorBidi" w:cstheme="majorBidi" w:hAnsiTheme="majorBidi"/>
                <w:color w:val="auto"/>
              </w:rPr>
              <w:t>24), Egypt imported wheat worth more than US$ 3.7 Bn with 64.1% imports from Russia and 13.3 % imports from Ukraine. India had no share during April23- March</w:t>
            </w:r>
            <w:r>
              <w:rPr>
                <w:rFonts w:cs="" w:asciiTheme="majorBidi" w:cstheme="majorBidi" w:hAnsiTheme="majorBidi"/>
              </w:rPr>
              <w:t>24</w:t>
            </w:r>
            <w:r>
              <w:rPr>
                <w:rFonts w:cs="" w:asciiTheme="majorBidi" w:cstheme="majorBidi" w:hAnsiTheme="majorBidi"/>
                <w:color w:val="auto"/>
              </w:rPr>
              <w:t>, Egypt is one of the largest importers of wheat in the world and If India allows wheat exports, then Egypt could be a good market for Indian exports of wheat</w:t>
            </w:r>
          </w:p>
          <w:p>
            <w:pPr>
              <w:pStyle w:val="TableContents"/>
              <w:widowControl w:val="false"/>
              <w:spacing w:lineRule="atLeast" w:line="285"/>
              <w:ind w:left="58" w:hanging="0"/>
              <w:jc w:val="both"/>
              <w:rPr>
                <w:rFonts w:cs="" w:asciiTheme="majorBidi" w:cstheme="majorBidi" w:hAnsiTheme="majorBidi"/>
                <w:color w:val="auto"/>
              </w:rPr>
            </w:pPr>
            <w:r>
              <w:rPr>
                <w:rFonts w:cs="" w:asciiTheme="majorBidi" w:cstheme="majorBidi" w:hAnsiTheme="majorBidi"/>
                <w:color w:val="auto"/>
              </w:rPr>
            </w:r>
          </w:p>
          <w:p>
            <w:pPr>
              <w:pStyle w:val="TableContents"/>
              <w:widowControl w:val="false"/>
              <w:spacing w:lineRule="atLeast" w:line="285"/>
              <w:jc w:val="both"/>
              <w:rPr>
                <w:rFonts w:cs="" w:asciiTheme="majorBidi" w:cstheme="majorBidi" w:hAnsiTheme="majorBidi"/>
                <w:color w:val="auto"/>
              </w:rPr>
            </w:pPr>
            <w:r>
              <w:rPr>
                <w:rFonts w:cs="" w:asciiTheme="majorBidi" w:cstheme="majorBidi" w:hAnsiTheme="majorBidi"/>
                <w:color w:val="auto"/>
              </w:rPr>
              <w:t>Egypt imports around one million tons of rice each year including from Thailand, China, India, Russia, and US. Indian private traders have been supplying rice to Egypt through government procurement as well as at private levels. The Indian companies have to register with GASC to participate in the government procurement process. Though sometimes, the tenders are also open to non-registered companies as well. During (April23 – March</w:t>
            </w:r>
            <w:r>
              <w:rPr>
                <w:rFonts w:cs="" w:asciiTheme="majorBidi" w:cstheme="majorBidi" w:hAnsiTheme="majorBidi"/>
              </w:rPr>
              <w:t xml:space="preserve"> </w:t>
            </w:r>
            <w:r>
              <w:rPr>
                <w:rFonts w:cs="" w:asciiTheme="majorBidi" w:cstheme="majorBidi" w:hAnsiTheme="majorBidi"/>
                <w:color w:val="auto"/>
              </w:rPr>
              <w:t>24) Egypt Imported rice worth 119 Million USD, India was the biggest supplier of rice to Egypt with (83.5 %) followed by China (13.2%).</w:t>
            </w:r>
          </w:p>
          <w:p>
            <w:pPr>
              <w:pStyle w:val="TableContents"/>
              <w:widowControl w:val="false"/>
              <w:spacing w:lineRule="atLeast" w:line="285"/>
              <w:jc w:val="both"/>
              <w:rPr>
                <w:rFonts w:cs="" w:asciiTheme="majorBidi" w:cstheme="majorBidi" w:hAnsiTheme="majorBidi"/>
                <w:color w:val="auto"/>
              </w:rPr>
            </w:pPr>
            <w:r>
              <w:rPr>
                <w:rFonts w:cs="" w:asciiTheme="majorBidi" w:cstheme="majorBidi" w:hAnsiTheme="majorBidi"/>
                <w:color w:val="auto"/>
              </w:rPr>
            </w:r>
          </w:p>
          <w:p>
            <w:pPr>
              <w:pStyle w:val="TableContents"/>
              <w:widowControl w:val="false"/>
              <w:spacing w:lineRule="atLeast" w:line="285"/>
              <w:jc w:val="both"/>
              <w:rPr>
                <w:rFonts w:cs="" w:asciiTheme="majorBidi" w:cstheme="majorBidi" w:hAnsiTheme="majorBidi"/>
                <w:color w:val="auto"/>
              </w:rPr>
            </w:pPr>
            <w:r>
              <w:rPr>
                <w:rFonts w:cs="" w:asciiTheme="majorBidi" w:cstheme="majorBidi" w:hAnsiTheme="majorBidi"/>
                <w:color w:val="auto"/>
              </w:rPr>
              <w:t>Egypt imports almost 70% of its wheat and is looking forward to some alternative to reduce the wheat imports, there is informal indication that the Egyptian government may allot 300,000 feddans of land for cultivation in northern Egypt, Egyptian market may be explored for export of millets.</w:t>
            </w:r>
          </w:p>
          <w:p>
            <w:pPr>
              <w:pStyle w:val="TableContents"/>
              <w:widowControl w:val="false"/>
              <w:spacing w:lineRule="atLeast" w:line="285"/>
              <w:jc w:val="both"/>
              <w:rPr>
                <w:rFonts w:cs="" w:asciiTheme="majorBidi" w:cstheme="majorBidi" w:hAnsiTheme="majorBidi"/>
                <w:color w:val="auto"/>
              </w:rPr>
            </w:pPr>
            <w:r>
              <w:rPr>
                <w:rFonts w:cs="" w:asciiTheme="majorBidi" w:cstheme="majorBidi" w:hAnsiTheme="majorBidi"/>
                <w:color w:val="auto"/>
              </w:rPr>
            </w:r>
          </w:p>
          <w:p>
            <w:pPr>
              <w:pStyle w:val="TableContents"/>
              <w:widowControl w:val="false"/>
              <w:spacing w:lineRule="atLeast" w:line="285"/>
              <w:jc w:val="both"/>
              <w:rPr>
                <w:rFonts w:cs="" w:asciiTheme="majorBidi" w:cstheme="majorBidi" w:hAnsiTheme="majorBidi"/>
                <w:color w:val="auto"/>
              </w:rPr>
            </w:pPr>
            <w:r>
              <w:rPr>
                <w:rFonts w:cs="" w:asciiTheme="majorBidi" w:cstheme="majorBidi" w:hAnsiTheme="majorBidi"/>
                <w:color w:val="auto"/>
              </w:rPr>
              <w:t>Egypt is largest market of tea in MENA region with USD 272 Million imports (April23 – March</w:t>
            </w:r>
            <w:r>
              <w:rPr>
                <w:rFonts w:cs="" w:asciiTheme="majorBidi" w:cstheme="majorBidi" w:hAnsiTheme="majorBidi"/>
              </w:rPr>
              <w:t xml:space="preserve"> </w:t>
            </w:r>
            <w:r>
              <w:rPr>
                <w:rFonts w:cs="" w:asciiTheme="majorBidi" w:cstheme="majorBidi" w:hAnsiTheme="majorBidi"/>
                <w:color w:val="auto"/>
              </w:rPr>
              <w:t>24). Kenya is major supplier with 91.8% of Tea imports (due to COMESA Agreement) followed by India and Sri Lanka. Indian tea export to Egypt has increased over the years due to reduction of tariff from 30 percent to 2 percent. In (April23 – March</w:t>
            </w:r>
            <w:r>
              <w:rPr>
                <w:rFonts w:cs="" w:asciiTheme="majorBidi" w:cstheme="majorBidi" w:hAnsiTheme="majorBidi"/>
              </w:rPr>
              <w:t xml:space="preserve"> </w:t>
            </w:r>
            <w:r>
              <w:rPr>
                <w:rFonts w:cs="" w:asciiTheme="majorBidi" w:cstheme="majorBidi" w:hAnsiTheme="majorBidi"/>
                <w:color w:val="auto"/>
              </w:rPr>
              <w:t>24), India exported $ 6.2 million of tea with 2.2 % of tea imports. CTC Dust and Fanning variety are popular in Egypt.</w:t>
            </w:r>
          </w:p>
        </w:tc>
      </w:tr>
      <w:tr>
        <w:trPr>
          <w:trHeight w:val="3747" w:hRule="atLeast"/>
        </w:trPr>
        <w:tc>
          <w:tcPr>
            <w:tcW w:w="888" w:type="dxa"/>
            <w:tcBorders>
              <w:top w:val="single" w:sz="2" w:space="0" w:color="000001"/>
              <w:left w:val="single" w:sz="2" w:space="0" w:color="000001"/>
              <w:bottom w:val="single" w:sz="2" w:space="0" w:color="000001"/>
            </w:tcBorders>
            <w:shd w:color="auto" w:fill="FFFFFF" w:val="clear"/>
          </w:tcPr>
          <w:p>
            <w:pPr>
              <w:pStyle w:val="TableContents"/>
              <w:widowControl w:val="false"/>
              <w:spacing w:lineRule="atLeast" w:line="285"/>
              <w:ind w:left="58" w:hanging="0"/>
              <w:jc w:val="both"/>
              <w:rPr>
                <w:rFonts w:cs="" w:asciiTheme="majorBidi" w:cstheme="majorBidi" w:hAnsiTheme="majorBidi"/>
                <w:color w:val="auto"/>
              </w:rPr>
            </w:pPr>
            <w:r>
              <w:rPr>
                <w:rFonts w:cs="" w:asciiTheme="majorBidi" w:cstheme="majorBidi" w:hAnsiTheme="majorBidi"/>
                <w:color w:val="auto"/>
                <w:lang w:val="en-IN"/>
              </w:rPr>
              <w:t>(v)</w:t>
            </w:r>
          </w:p>
        </w:tc>
        <w:tc>
          <w:tcPr>
            <w:tcW w:w="2168" w:type="dxa"/>
            <w:tcBorders>
              <w:top w:val="single" w:sz="2" w:space="0" w:color="000001"/>
              <w:left w:val="single" w:sz="2" w:space="0" w:color="000001"/>
              <w:bottom w:val="single" w:sz="2" w:space="0" w:color="000001"/>
            </w:tcBorders>
            <w:shd w:color="auto" w:fill="FFFFFF" w:val="clear"/>
          </w:tcPr>
          <w:p>
            <w:pPr>
              <w:pStyle w:val="TableContents"/>
              <w:widowControl w:val="false"/>
              <w:spacing w:lineRule="atLeast" w:line="285"/>
              <w:ind w:left="58" w:hanging="0"/>
              <w:jc w:val="both"/>
              <w:rPr>
                <w:rFonts w:cs="" w:asciiTheme="majorBidi" w:cstheme="majorBidi" w:hAnsiTheme="majorBidi"/>
                <w:color w:val="auto"/>
              </w:rPr>
            </w:pPr>
            <w:r>
              <w:rPr>
                <w:rFonts w:cs="" w:asciiTheme="majorBidi" w:cstheme="majorBidi" w:hAnsiTheme="majorBidi"/>
                <w:color w:val="auto"/>
                <w:lang w:val="en-IN"/>
              </w:rPr>
              <w:t>IT and IT enabled services (Information technology Items:85)</w:t>
            </w:r>
          </w:p>
          <w:p>
            <w:pPr>
              <w:pStyle w:val="TableContents"/>
              <w:widowControl w:val="false"/>
              <w:spacing w:lineRule="atLeast" w:line="285"/>
              <w:ind w:left="58" w:hanging="0"/>
              <w:jc w:val="both"/>
              <w:rPr>
                <w:rFonts w:cs="" w:asciiTheme="majorBidi" w:cstheme="majorBidi" w:hAnsiTheme="majorBidi"/>
                <w:color w:val="auto"/>
              </w:rPr>
            </w:pPr>
            <w:r>
              <w:rPr>
                <w:rFonts w:cs="" w:asciiTheme="majorBidi" w:cstheme="majorBidi" w:hAnsiTheme="majorBidi"/>
                <w:color w:val="auto"/>
              </w:rPr>
            </w:r>
          </w:p>
        </w:tc>
        <w:tc>
          <w:tcPr>
            <w:tcW w:w="7560" w:type="dxa"/>
            <w:tcBorders>
              <w:top w:val="single" w:sz="2" w:space="0" w:color="000001"/>
              <w:left w:val="single" w:sz="2" w:space="0" w:color="000001"/>
              <w:bottom w:val="single" w:sz="2" w:space="0" w:color="000001"/>
              <w:right w:val="single" w:sz="2" w:space="0" w:color="000001"/>
            </w:tcBorders>
            <w:shd w:color="auto" w:fill="FFFFFF" w:val="clear"/>
          </w:tcPr>
          <w:p>
            <w:pPr>
              <w:pStyle w:val="TableContents"/>
              <w:widowControl w:val="false"/>
              <w:spacing w:lineRule="atLeast" w:line="285"/>
              <w:ind w:left="58" w:hanging="0"/>
              <w:jc w:val="both"/>
              <w:rPr>
                <w:rFonts w:cs="" w:asciiTheme="majorBidi" w:cstheme="majorBidi" w:hAnsiTheme="majorBidi"/>
                <w:color w:val="auto"/>
              </w:rPr>
            </w:pPr>
            <w:r>
              <w:rPr>
                <w:rFonts w:cs="" w:asciiTheme="majorBidi" w:cstheme="majorBidi" w:hAnsiTheme="majorBidi"/>
                <w:color w:val="auto"/>
              </w:rPr>
              <w:t>The Egyptian authorities have launched a Digital Egypt Initiative which is in alignment with Egypt Vision 2030 to digitize several sectors like payment and settlement, Governance, Geographical Information Systems.etc. There is good number of foreign IT companies like Microsoft, IBM, Oracle, etc. having their data centers located in Smart Villages mainly located in the outskirts of the capital. Although there is lack of Indian IT companies in Egypt, some Indian companies are providing IT solutions especially in financial services with back-end support from their centers located in Dubai and Middle East. However, there are potential for Indian IT companies to operate in Egypt provided they have physical presence in Egypt.</w:t>
            </w:r>
          </w:p>
          <w:p>
            <w:pPr>
              <w:pStyle w:val="TableContents"/>
              <w:widowControl w:val="false"/>
              <w:spacing w:lineRule="atLeast" w:line="285"/>
              <w:ind w:left="58" w:hanging="0"/>
              <w:jc w:val="both"/>
              <w:rPr>
                <w:rFonts w:cs="" w:asciiTheme="majorBidi" w:cstheme="majorBidi" w:hAnsiTheme="majorBidi"/>
                <w:color w:val="auto"/>
              </w:rPr>
            </w:pPr>
            <w:hyperlink r:id="rId2">
              <w:r>
                <w:rPr>
                  <w:rStyle w:val="InternetLink"/>
                  <w:rFonts w:cs="" w:asciiTheme="majorBidi" w:cstheme="majorBidi" w:hAnsiTheme="majorBidi"/>
                </w:rPr>
                <w:t>Tech Mahindra</w:t>
              </w:r>
            </w:hyperlink>
            <w:r>
              <w:rPr>
                <w:rFonts w:cs="" w:asciiTheme="majorBidi" w:cstheme="majorBidi" w:hAnsiTheme="majorBidi"/>
                <w:color w:val="auto"/>
              </w:rPr>
              <w:t xml:space="preserve"> a leading provider of digital transformation, consulting, and business re-engineering services and solutions, has signed a Memorandum of Understanding (MoU) with the Information Technology Industry Development Agency (ITIDA) to establish a global delivery Centre in Cairo. Tech Mahindra aims to hire more than 3000 employees over next three years to serve both global and local customers from its newly inaugurated center in Cairo.</w:t>
            </w:r>
          </w:p>
        </w:tc>
      </w:tr>
      <w:tr>
        <w:trPr>
          <w:trHeight w:val="2153" w:hRule="atLeast"/>
        </w:trPr>
        <w:tc>
          <w:tcPr>
            <w:tcW w:w="888" w:type="dxa"/>
            <w:tcBorders>
              <w:top w:val="single" w:sz="2" w:space="0" w:color="000001"/>
              <w:left w:val="single" w:sz="2" w:space="0" w:color="000001"/>
              <w:bottom w:val="single" w:sz="2" w:space="0" w:color="000001"/>
            </w:tcBorders>
            <w:shd w:color="auto" w:fill="FFFFFF" w:val="clear"/>
          </w:tcPr>
          <w:p>
            <w:pPr>
              <w:pStyle w:val="TableContents"/>
              <w:widowControl w:val="false"/>
              <w:spacing w:lineRule="atLeast" w:line="285"/>
              <w:ind w:left="58" w:hanging="0"/>
              <w:jc w:val="both"/>
              <w:rPr>
                <w:rFonts w:cs="" w:asciiTheme="majorBidi" w:cstheme="majorBidi" w:hAnsiTheme="majorBidi"/>
                <w:color w:val="auto"/>
                <w:lang w:val="en-IN"/>
              </w:rPr>
            </w:pPr>
            <w:r>
              <w:rPr>
                <w:rFonts w:cs="" w:asciiTheme="majorBidi" w:cstheme="majorBidi" w:hAnsiTheme="majorBidi"/>
                <w:color w:val="auto"/>
                <w:lang w:val="en-IN"/>
              </w:rPr>
              <w:t>(vi)</w:t>
            </w:r>
          </w:p>
        </w:tc>
        <w:tc>
          <w:tcPr>
            <w:tcW w:w="2168" w:type="dxa"/>
            <w:tcBorders>
              <w:top w:val="single" w:sz="2" w:space="0" w:color="000001"/>
              <w:left w:val="single" w:sz="2" w:space="0" w:color="000001"/>
              <w:bottom w:val="single" w:sz="2" w:space="0" w:color="000001"/>
            </w:tcBorders>
            <w:shd w:color="auto" w:fill="FFFFFF" w:val="clear"/>
          </w:tcPr>
          <w:p>
            <w:pPr>
              <w:pStyle w:val="TableContents"/>
              <w:widowControl w:val="false"/>
              <w:spacing w:lineRule="atLeast" w:line="285"/>
              <w:ind w:left="58" w:hanging="0"/>
              <w:rPr>
                <w:rFonts w:cs="" w:asciiTheme="majorBidi" w:cstheme="majorBidi" w:hAnsiTheme="majorBidi"/>
                <w:color w:val="auto"/>
              </w:rPr>
            </w:pPr>
            <w:r>
              <w:rPr>
                <w:rFonts w:cs="" w:asciiTheme="majorBidi" w:cstheme="majorBidi" w:hAnsiTheme="majorBidi"/>
                <w:color w:val="auto"/>
              </w:rPr>
              <w:t>Plastics and Chemicals</w:t>
            </w:r>
          </w:p>
        </w:tc>
        <w:tc>
          <w:tcPr>
            <w:tcW w:w="7560" w:type="dxa"/>
            <w:tcBorders>
              <w:top w:val="single" w:sz="2" w:space="0" w:color="000001"/>
              <w:left w:val="single" w:sz="2" w:space="0" w:color="000001"/>
              <w:bottom w:val="single" w:sz="2" w:space="0" w:color="000001"/>
              <w:right w:val="single" w:sz="2" w:space="0" w:color="000001"/>
            </w:tcBorders>
            <w:shd w:color="auto" w:fill="FFFFFF" w:val="clear"/>
          </w:tcPr>
          <w:p>
            <w:pPr>
              <w:pStyle w:val="TableContents"/>
              <w:widowControl w:val="false"/>
              <w:spacing w:lineRule="atLeast" w:line="285"/>
              <w:ind w:left="58" w:hanging="0"/>
              <w:jc w:val="both"/>
              <w:rPr>
                <w:rFonts w:cs="" w:asciiTheme="majorBidi" w:cstheme="majorBidi" w:hAnsiTheme="majorBidi"/>
                <w:color w:val="auto"/>
              </w:rPr>
            </w:pPr>
            <w:r>
              <w:rPr>
                <w:rFonts w:cs="" w:asciiTheme="majorBidi" w:cstheme="majorBidi" w:hAnsiTheme="majorBidi"/>
                <w:color w:val="auto"/>
              </w:rPr>
              <w:t>Egypt’s plastics market is supplied 65% from imports and 35% from domestic sources. The main suppliers are South Korea, India, Russia, and the Gulf States. Polyethylene, polyvinyl chloride suspension, PET, and thermoset plastics are the most common locally manufactured products. A private company now produces polypropylene, but most propylene continues to be imported. The quality of EU-made products, explain their popularity in Egypt.</w:t>
            </w:r>
          </w:p>
          <w:p>
            <w:pPr>
              <w:pStyle w:val="TableContents"/>
              <w:widowControl w:val="false"/>
              <w:spacing w:lineRule="atLeast" w:line="285"/>
              <w:ind w:left="58" w:hanging="0"/>
              <w:jc w:val="both"/>
              <w:rPr>
                <w:rFonts w:cs="" w:asciiTheme="majorBidi" w:cstheme="majorBidi" w:hAnsiTheme="majorBidi"/>
                <w:color w:val="auto"/>
              </w:rPr>
            </w:pPr>
            <w:r>
              <w:rPr>
                <w:rFonts w:cs="" w:asciiTheme="majorBidi" w:cstheme="majorBidi" w:hAnsiTheme="majorBidi"/>
                <w:color w:val="auto"/>
              </w:rPr>
            </w:r>
          </w:p>
        </w:tc>
      </w:tr>
      <w:tr>
        <w:trPr>
          <w:trHeight w:val="930" w:hRule="atLeast"/>
        </w:trPr>
        <w:tc>
          <w:tcPr>
            <w:tcW w:w="888" w:type="dxa"/>
            <w:tcBorders>
              <w:top w:val="single" w:sz="2" w:space="0" w:color="000001"/>
              <w:left w:val="single" w:sz="2" w:space="0" w:color="000001"/>
              <w:bottom w:val="single" w:sz="2" w:space="0" w:color="000001"/>
            </w:tcBorders>
            <w:shd w:color="auto" w:fill="FFFFFF" w:val="clear"/>
          </w:tcPr>
          <w:p>
            <w:pPr>
              <w:pStyle w:val="TableContents"/>
              <w:widowControl w:val="false"/>
              <w:spacing w:lineRule="atLeast" w:line="285"/>
              <w:ind w:left="58" w:hanging="0"/>
              <w:jc w:val="both"/>
              <w:rPr>
                <w:rFonts w:cs="" w:asciiTheme="majorBidi" w:cstheme="majorBidi" w:hAnsiTheme="majorBidi"/>
                <w:color w:val="auto"/>
                <w:lang w:val="en-IN"/>
              </w:rPr>
            </w:pPr>
            <w:r>
              <w:rPr>
                <w:rFonts w:cs="" w:asciiTheme="majorBidi" w:cstheme="majorBidi" w:hAnsiTheme="majorBidi"/>
                <w:color w:val="auto"/>
                <w:lang w:val="en-IN"/>
              </w:rPr>
              <w:t>(Vii)</w:t>
            </w:r>
          </w:p>
        </w:tc>
        <w:tc>
          <w:tcPr>
            <w:tcW w:w="2168" w:type="dxa"/>
            <w:tcBorders>
              <w:top w:val="single" w:sz="2" w:space="0" w:color="000001"/>
              <w:left w:val="single" w:sz="2" w:space="0" w:color="000001"/>
              <w:bottom w:val="single" w:sz="2" w:space="0" w:color="000001"/>
            </w:tcBorders>
            <w:shd w:color="auto" w:fill="FFFFFF" w:val="clear"/>
          </w:tcPr>
          <w:p>
            <w:pPr>
              <w:pStyle w:val="TableContents"/>
              <w:widowControl w:val="false"/>
              <w:spacing w:lineRule="atLeast" w:line="285"/>
              <w:ind w:left="58" w:hanging="0"/>
              <w:rPr>
                <w:rFonts w:cs="" w:asciiTheme="majorBidi" w:cstheme="majorBidi" w:hAnsiTheme="majorBidi"/>
                <w:color w:val="auto"/>
              </w:rPr>
            </w:pPr>
            <w:r>
              <w:rPr>
                <w:rFonts w:cs="" w:asciiTheme="majorBidi" w:cstheme="majorBidi" w:hAnsiTheme="majorBidi"/>
                <w:color w:val="auto"/>
              </w:rPr>
              <w:t>Coconut seedlings/ Date Palm seedlings</w:t>
            </w:r>
          </w:p>
        </w:tc>
        <w:tc>
          <w:tcPr>
            <w:tcW w:w="7560" w:type="dxa"/>
            <w:tcBorders>
              <w:top w:val="single" w:sz="2" w:space="0" w:color="000001"/>
              <w:left w:val="single" w:sz="2" w:space="0" w:color="000001"/>
              <w:bottom w:val="single" w:sz="2" w:space="0" w:color="000001"/>
              <w:right w:val="single" w:sz="2" w:space="0" w:color="000001"/>
            </w:tcBorders>
            <w:shd w:color="auto" w:fill="FFFFFF" w:val="clear"/>
          </w:tcPr>
          <w:p>
            <w:pPr>
              <w:pStyle w:val="TableContents"/>
              <w:widowControl w:val="false"/>
              <w:spacing w:lineRule="atLeast" w:line="285"/>
              <w:jc w:val="both"/>
              <w:rPr>
                <w:rFonts w:cs="" w:asciiTheme="majorBidi" w:cstheme="majorBidi" w:hAnsiTheme="majorBidi"/>
                <w:color w:val="auto"/>
              </w:rPr>
            </w:pPr>
            <w:r>
              <w:rPr>
                <w:rFonts w:cs="" w:asciiTheme="majorBidi" w:cstheme="majorBidi" w:hAnsiTheme="majorBidi"/>
              </w:rPr>
              <w:t>Coconut Seedlings export is banned from India due to phytosanitary concerns. The Egyptian side stated they would have to visit India to complete the Pest Risk Analysis (PRA) exercise.</w:t>
            </w:r>
          </w:p>
        </w:tc>
      </w:tr>
      <w:tr>
        <w:trPr>
          <w:trHeight w:val="930" w:hRule="atLeast"/>
        </w:trPr>
        <w:tc>
          <w:tcPr>
            <w:tcW w:w="888" w:type="dxa"/>
            <w:tcBorders>
              <w:top w:val="single" w:sz="2" w:space="0" w:color="000001"/>
              <w:left w:val="single" w:sz="2" w:space="0" w:color="000001"/>
              <w:bottom w:val="single" w:sz="2" w:space="0" w:color="000001"/>
            </w:tcBorders>
            <w:shd w:color="auto" w:fill="FFFFFF" w:val="clear"/>
          </w:tcPr>
          <w:p>
            <w:pPr>
              <w:pStyle w:val="TableContents"/>
              <w:widowControl w:val="false"/>
              <w:spacing w:lineRule="atLeast" w:line="285"/>
              <w:ind w:left="58" w:hanging="0"/>
              <w:jc w:val="both"/>
              <w:rPr>
                <w:rFonts w:cs="" w:asciiTheme="majorBidi" w:cstheme="majorBidi" w:hAnsiTheme="majorBidi"/>
                <w:color w:val="auto"/>
                <w:lang w:val="en-IN"/>
              </w:rPr>
            </w:pPr>
            <w:r>
              <w:rPr>
                <w:rFonts w:cs="" w:asciiTheme="majorBidi" w:cstheme="majorBidi" w:hAnsiTheme="majorBidi"/>
                <w:color w:val="auto"/>
                <w:lang w:val="en-IN"/>
              </w:rPr>
              <w:t>(Viii)</w:t>
            </w:r>
          </w:p>
        </w:tc>
        <w:tc>
          <w:tcPr>
            <w:tcW w:w="2168" w:type="dxa"/>
            <w:tcBorders>
              <w:top w:val="single" w:sz="2" w:space="0" w:color="000001"/>
              <w:left w:val="single" w:sz="2" w:space="0" w:color="000001"/>
              <w:bottom w:val="single" w:sz="2" w:space="0" w:color="000001"/>
            </w:tcBorders>
            <w:shd w:color="auto" w:fill="FFFFFF" w:val="clear"/>
          </w:tcPr>
          <w:p>
            <w:pPr>
              <w:pStyle w:val="TableContents"/>
              <w:widowControl w:val="false"/>
              <w:spacing w:lineRule="atLeast" w:line="285"/>
              <w:ind w:left="58" w:hanging="0"/>
              <w:rPr>
                <w:rFonts w:cs="" w:asciiTheme="majorBidi" w:cstheme="majorBidi" w:hAnsiTheme="majorBidi"/>
                <w:color w:val="auto"/>
              </w:rPr>
            </w:pPr>
            <w:r>
              <w:rPr>
                <w:rFonts w:cs="" w:asciiTheme="majorBidi" w:cstheme="majorBidi" w:hAnsiTheme="majorBidi"/>
                <w:color w:val="auto"/>
              </w:rPr>
              <w:t xml:space="preserve">Engineering Goods </w:t>
            </w:r>
          </w:p>
        </w:tc>
        <w:tc>
          <w:tcPr>
            <w:tcW w:w="7560" w:type="dxa"/>
            <w:tcBorders>
              <w:top w:val="single" w:sz="2" w:space="0" w:color="000001"/>
              <w:left w:val="single" w:sz="2" w:space="0" w:color="000001"/>
              <w:bottom w:val="single" w:sz="2" w:space="0" w:color="000001"/>
              <w:right w:val="single" w:sz="2" w:space="0" w:color="000001"/>
            </w:tcBorders>
            <w:shd w:color="auto" w:fill="FFFFFF" w:val="clear"/>
          </w:tcPr>
          <w:p>
            <w:pPr>
              <w:pStyle w:val="TableContents"/>
              <w:widowControl w:val="false"/>
              <w:spacing w:lineRule="atLeast" w:line="285"/>
              <w:jc w:val="both"/>
              <w:rPr>
                <w:rFonts w:cs="" w:asciiTheme="majorBidi" w:cstheme="majorBidi" w:hAnsiTheme="majorBidi"/>
              </w:rPr>
            </w:pPr>
            <w:r>
              <w:rPr>
                <w:rFonts w:cs="" w:asciiTheme="majorBidi" w:cstheme="majorBidi" w:hAnsiTheme="majorBidi"/>
              </w:rPr>
              <w:t>India has exported engineering goods worth of US$ 622.8 Millions to Egypt during April23-March24.</w:t>
            </w:r>
          </w:p>
          <w:p>
            <w:pPr>
              <w:pStyle w:val="Normal"/>
              <w:widowControl w:val="false"/>
              <w:spacing w:lineRule="auto" w:line="259"/>
              <w:jc w:val="both"/>
              <w:rPr>
                <w:rFonts w:cs="" w:asciiTheme="majorBidi" w:cstheme="majorBidi" w:hAnsiTheme="majorBidi"/>
              </w:rPr>
            </w:pPr>
            <w:r>
              <w:rPr>
                <w:rFonts w:cs="" w:asciiTheme="majorBidi" w:cstheme="majorBidi" w:hAnsiTheme="majorBidi"/>
              </w:rPr>
              <w:t>In addition, Egypt is expanding in terms of new roads, new cities and new factories are being built so it is expected that the Egyptian demand on the engineering goods would increase and India could be a good supplier to Egypt of engineering goods.</w:t>
            </w:r>
          </w:p>
        </w:tc>
      </w:tr>
    </w:tbl>
    <w:p>
      <w:pPr>
        <w:pStyle w:val="Standard"/>
        <w:spacing w:before="0" w:after="0"/>
        <w:jc w:val="center"/>
        <w:rPr>
          <w:rFonts w:cs="" w:asciiTheme="majorBidi" w:cstheme="majorBidi" w:hAnsiTheme="majorBidi"/>
          <w:color w:val="auto"/>
          <w:sz w:val="26"/>
          <w:szCs w:val="26"/>
        </w:rPr>
      </w:pPr>
      <w:r>
        <w:rPr>
          <w:rFonts w:cs="" w:asciiTheme="majorBidi" w:cstheme="majorBidi" w:hAnsiTheme="majorBidi"/>
          <w:b/>
          <w:bCs/>
          <w:color w:val="auto"/>
          <w:sz w:val="26"/>
          <w:szCs w:val="26"/>
        </w:rPr>
        <w:t>B.</w:t>
      </w:r>
      <w:r>
        <w:rPr>
          <w:rFonts w:cs="" w:asciiTheme="majorBidi" w:cstheme="majorBidi" w:hAnsiTheme="majorBidi"/>
          <w:color w:val="auto"/>
          <w:sz w:val="26"/>
          <w:szCs w:val="26"/>
        </w:rPr>
        <w:t xml:space="preserve"> </w:t>
      </w:r>
      <w:r>
        <w:rPr>
          <w:rFonts w:cs="" w:asciiTheme="majorBidi" w:cstheme="majorBidi" w:hAnsiTheme="majorBidi"/>
          <w:b/>
          <w:bCs/>
          <w:color w:val="auto"/>
          <w:sz w:val="26"/>
          <w:szCs w:val="26"/>
        </w:rPr>
        <w:t>QUALITATIVE</w:t>
      </w:r>
    </w:p>
    <w:p>
      <w:pPr>
        <w:pStyle w:val="Standard"/>
        <w:spacing w:before="0" w:after="0"/>
        <w:rPr>
          <w:rFonts w:cs="" w:asciiTheme="majorBidi" w:cstheme="majorBidi" w:hAnsiTheme="majorBidi"/>
          <w:color w:val="auto"/>
          <w:sz w:val="26"/>
          <w:szCs w:val="26"/>
        </w:rPr>
      </w:pPr>
      <w:r>
        <w:rPr>
          <w:rFonts w:cs="" w:asciiTheme="majorBidi" w:cstheme="majorBidi" w:hAnsiTheme="majorBidi"/>
          <w:color w:val="auto"/>
          <w:sz w:val="26"/>
          <w:szCs w:val="26"/>
        </w:rPr>
      </w:r>
    </w:p>
    <w:p>
      <w:pPr>
        <w:pStyle w:val="Standard"/>
        <w:spacing w:before="0" w:after="0"/>
        <w:jc w:val="center"/>
        <w:rPr>
          <w:rFonts w:cs="" w:asciiTheme="majorBidi" w:cstheme="majorBidi" w:hAnsiTheme="majorBidi"/>
          <w:color w:val="auto"/>
          <w:sz w:val="26"/>
          <w:szCs w:val="26"/>
        </w:rPr>
      </w:pPr>
      <w:r>
        <w:rPr>
          <w:rFonts w:cs="" w:asciiTheme="majorBidi" w:cstheme="majorBidi" w:hAnsiTheme="majorBidi"/>
          <w:b/>
          <w:bCs/>
          <w:color w:val="auto"/>
          <w:sz w:val="26"/>
          <w:szCs w:val="26"/>
        </w:rPr>
        <w:t>Month:</w:t>
      </w:r>
      <w:r>
        <w:rPr>
          <w:rFonts w:cs="" w:asciiTheme="majorBidi" w:cstheme="majorBidi" w:hAnsiTheme="majorBidi"/>
          <w:color w:val="auto"/>
          <w:sz w:val="26"/>
          <w:szCs w:val="26"/>
        </w:rPr>
        <w:t xml:space="preserve"> </w:t>
      </w:r>
      <w:r>
        <w:rPr>
          <w:rFonts w:cs="" w:asciiTheme="majorBidi" w:cstheme="majorBidi" w:hAnsiTheme="majorBidi"/>
          <w:b/>
          <w:bCs/>
          <w:color w:val="auto"/>
          <w:sz w:val="26"/>
          <w:szCs w:val="26"/>
        </w:rPr>
        <w:t>June</w:t>
      </w:r>
      <w:bookmarkStart w:id="2" w:name="_Hlk158296197"/>
      <w:r>
        <w:rPr>
          <w:rFonts w:eastAsia="Calibri" w:cs="" w:asciiTheme="majorBidi" w:cstheme="majorBidi" w:hAnsiTheme="majorBidi"/>
          <w:b/>
          <w:color w:val="auto"/>
          <w:sz w:val="26"/>
          <w:szCs w:val="26"/>
        </w:rPr>
        <w:t xml:space="preserve"> </w:t>
      </w:r>
      <w:r>
        <w:rPr>
          <w:rFonts w:cs="" w:asciiTheme="majorBidi" w:cstheme="majorBidi" w:hAnsiTheme="majorBidi"/>
          <w:b/>
          <w:bCs/>
          <w:color w:val="auto"/>
          <w:sz w:val="26"/>
          <w:szCs w:val="26"/>
        </w:rPr>
        <w:t>2024</w:t>
      </w:r>
      <w:bookmarkEnd w:id="2"/>
    </w:p>
    <w:p>
      <w:pPr>
        <w:pStyle w:val="Standard"/>
        <w:spacing w:before="0" w:after="0"/>
        <w:rPr>
          <w:rFonts w:cs="" w:asciiTheme="majorBidi" w:cstheme="majorBidi" w:hAnsiTheme="majorBidi"/>
          <w:color w:val="auto"/>
          <w:sz w:val="26"/>
          <w:szCs w:val="26"/>
        </w:rPr>
      </w:pPr>
      <w:r>
        <w:rPr>
          <w:rFonts w:cs="" w:asciiTheme="majorBidi" w:cstheme="majorBidi" w:hAnsiTheme="majorBidi"/>
          <w:color w:val="auto"/>
          <w:sz w:val="26"/>
          <w:szCs w:val="26"/>
        </w:rPr>
      </w:r>
    </w:p>
    <w:p>
      <w:pPr>
        <w:pStyle w:val="Standard"/>
        <w:spacing w:before="0" w:after="0"/>
        <w:rPr>
          <w:rFonts w:cs="" w:asciiTheme="majorBidi" w:cstheme="majorBidi" w:hAnsiTheme="majorBidi"/>
          <w:color w:val="auto"/>
          <w:sz w:val="26"/>
          <w:szCs w:val="26"/>
        </w:rPr>
      </w:pPr>
      <w:r>
        <w:rPr>
          <w:rFonts w:cs="" w:asciiTheme="majorBidi" w:cstheme="majorBidi" w:hAnsiTheme="majorBidi"/>
          <w:color w:val="auto"/>
          <w:sz w:val="26"/>
          <w:szCs w:val="26"/>
        </w:rPr>
        <w:t xml:space="preserve">1. </w:t>
        <w:tab/>
      </w:r>
      <w:r>
        <w:rPr>
          <w:rFonts w:cs="" w:asciiTheme="majorBidi" w:cstheme="majorBidi" w:hAnsiTheme="majorBidi"/>
          <w:b/>
          <w:bCs/>
          <w:color w:val="auto"/>
          <w:sz w:val="26"/>
          <w:szCs w:val="26"/>
        </w:rPr>
        <w:t>Market Access Alerts</w:t>
      </w:r>
      <w:r>
        <w:rPr>
          <w:rFonts w:cs="" w:asciiTheme="majorBidi" w:cstheme="majorBidi" w:hAnsiTheme="majorBidi"/>
          <w:color w:val="auto"/>
          <w:sz w:val="26"/>
          <w:szCs w:val="26"/>
        </w:rPr>
        <w:t>:</w:t>
      </w:r>
    </w:p>
    <w:p>
      <w:pPr>
        <w:pStyle w:val="Standard"/>
        <w:spacing w:before="0" w:after="0"/>
        <w:rPr>
          <w:rFonts w:cs="" w:asciiTheme="majorBidi" w:cstheme="majorBidi" w:hAnsiTheme="majorBidi"/>
          <w:color w:val="auto"/>
          <w:sz w:val="26"/>
          <w:szCs w:val="26"/>
        </w:rPr>
      </w:pPr>
      <w:r>
        <w:rPr>
          <w:rFonts w:cs="" w:asciiTheme="majorBidi" w:cstheme="majorBidi" w:hAnsiTheme="majorBidi"/>
          <w:color w:val="auto"/>
          <w:sz w:val="26"/>
          <w:szCs w:val="26"/>
        </w:rPr>
      </w:r>
    </w:p>
    <w:p>
      <w:pPr>
        <w:pStyle w:val="ListParagraph"/>
        <w:numPr>
          <w:ilvl w:val="0"/>
          <w:numId w:val="9"/>
        </w:numPr>
        <w:spacing w:before="0" w:after="0"/>
        <w:rPr>
          <w:rFonts w:cs="" w:asciiTheme="majorBidi" w:cstheme="majorBidi" w:hAnsiTheme="majorBidi"/>
          <w:color w:val="auto"/>
          <w:sz w:val="26"/>
          <w:szCs w:val="26"/>
        </w:rPr>
      </w:pPr>
      <w:r>
        <w:rPr>
          <w:rFonts w:cs="" w:asciiTheme="majorBidi" w:cstheme="majorBidi" w:hAnsiTheme="majorBidi"/>
          <w:color w:val="auto"/>
          <w:sz w:val="26"/>
          <w:szCs w:val="26"/>
        </w:rPr>
        <w:t>Alerts on customs tariff changes: -</w:t>
      </w:r>
    </w:p>
    <w:p>
      <w:pPr>
        <w:pStyle w:val="ListParagraph"/>
        <w:spacing w:before="0" w:after="0"/>
        <w:ind w:left="1080" w:hanging="0"/>
        <w:jc w:val="right"/>
        <w:rPr>
          <w:rFonts w:cs="" w:asciiTheme="majorBidi" w:cstheme="majorBidi" w:hAnsiTheme="majorBidi"/>
          <w:color w:val="auto"/>
          <w:sz w:val="22"/>
          <w:szCs w:val="22"/>
        </w:rPr>
      </w:pPr>
      <w:r>
        <w:rPr>
          <w:rFonts w:cs="" w:asciiTheme="majorBidi" w:cstheme="majorBidi" w:hAnsiTheme="majorBidi"/>
          <w:color w:val="auto"/>
          <w:sz w:val="22"/>
          <w:szCs w:val="22"/>
        </w:rPr>
        <w:t>Egyptian Customs Authority</w:t>
      </w:r>
    </w:p>
    <w:p>
      <w:pPr>
        <w:pStyle w:val="Standard"/>
        <w:spacing w:before="0" w:after="0"/>
        <w:rPr>
          <w:rFonts w:cs="" w:asciiTheme="majorBidi" w:cstheme="majorBidi" w:hAnsiTheme="majorBidi"/>
          <w:color w:val="auto"/>
          <w:sz w:val="26"/>
          <w:szCs w:val="26"/>
        </w:rPr>
      </w:pPr>
      <w:r>
        <w:rPr>
          <w:rFonts w:cs="" w:asciiTheme="majorBidi" w:cstheme="majorBidi" w:hAnsiTheme="majorBidi"/>
          <w:color w:val="auto"/>
          <w:sz w:val="26"/>
          <w:szCs w:val="26"/>
        </w:rPr>
      </w:r>
    </w:p>
    <w:tbl>
      <w:tblPr>
        <w:tblW w:w="9986" w:type="dxa"/>
        <w:jc w:val="left"/>
        <w:tblInd w:w="3" w:type="dxa"/>
        <w:tblLayout w:type="fixed"/>
        <w:tblCellMar>
          <w:top w:w="55" w:type="dxa"/>
          <w:left w:w="36" w:type="dxa"/>
          <w:bottom w:w="55" w:type="dxa"/>
          <w:right w:w="55" w:type="dxa"/>
        </w:tblCellMar>
        <w:tblLook w:val="0000" w:noHBand="0" w:noVBand="0" w:firstColumn="0" w:lastRow="0" w:lastColumn="0" w:firstRow="0"/>
      </w:tblPr>
      <w:tblGrid>
        <w:gridCol w:w="623"/>
        <w:gridCol w:w="1308"/>
        <w:gridCol w:w="1016"/>
        <w:gridCol w:w="1466"/>
        <w:gridCol w:w="994"/>
        <w:gridCol w:w="1072"/>
        <w:gridCol w:w="1088"/>
        <w:gridCol w:w="2417"/>
      </w:tblGrid>
      <w:tr>
        <w:trPr/>
        <w:tc>
          <w:tcPr>
            <w:tcW w:w="623"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color w:val="auto"/>
                <w:sz w:val="26"/>
                <w:szCs w:val="26"/>
              </w:rPr>
            </w:pPr>
            <w:r>
              <w:rPr>
                <w:rFonts w:cs="" w:asciiTheme="majorBidi" w:cstheme="majorBidi" w:hAnsiTheme="majorBidi"/>
                <w:b/>
                <w:bCs/>
                <w:color w:val="auto"/>
                <w:sz w:val="26"/>
                <w:szCs w:val="26"/>
              </w:rPr>
              <w:t>Sl. No.</w:t>
            </w:r>
          </w:p>
        </w:tc>
        <w:tc>
          <w:tcPr>
            <w:tcW w:w="1308"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color w:val="auto"/>
                <w:sz w:val="26"/>
                <w:szCs w:val="26"/>
              </w:rPr>
            </w:pPr>
            <w:r>
              <w:rPr>
                <w:rFonts w:cs="" w:asciiTheme="majorBidi" w:cstheme="majorBidi" w:hAnsiTheme="majorBidi"/>
                <w:b/>
                <w:bCs/>
                <w:color w:val="auto"/>
                <w:sz w:val="26"/>
                <w:szCs w:val="26"/>
              </w:rPr>
              <w:t>Notification no. and date</w:t>
            </w:r>
          </w:p>
        </w:tc>
        <w:tc>
          <w:tcPr>
            <w:tcW w:w="1016"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color w:val="auto"/>
                <w:sz w:val="26"/>
                <w:szCs w:val="26"/>
              </w:rPr>
            </w:pPr>
            <w:r>
              <w:rPr>
                <w:rFonts w:cs="" w:asciiTheme="majorBidi" w:cstheme="majorBidi" w:hAnsiTheme="majorBidi"/>
                <w:b/>
                <w:bCs/>
                <w:color w:val="auto"/>
                <w:sz w:val="26"/>
                <w:szCs w:val="26"/>
              </w:rPr>
              <w:t>HS Code</w:t>
            </w:r>
          </w:p>
        </w:tc>
        <w:tc>
          <w:tcPr>
            <w:tcW w:w="1466"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color w:val="auto"/>
                <w:sz w:val="26"/>
                <w:szCs w:val="26"/>
              </w:rPr>
            </w:pPr>
            <w:r>
              <w:rPr>
                <w:rFonts w:cs="" w:asciiTheme="majorBidi" w:cstheme="majorBidi" w:hAnsiTheme="majorBidi"/>
                <w:b/>
                <w:bCs/>
                <w:color w:val="auto"/>
                <w:sz w:val="26"/>
                <w:szCs w:val="26"/>
              </w:rPr>
              <w:t>Description</w:t>
            </w:r>
          </w:p>
        </w:tc>
        <w:tc>
          <w:tcPr>
            <w:tcW w:w="994"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color w:val="auto"/>
                <w:sz w:val="26"/>
                <w:szCs w:val="26"/>
              </w:rPr>
            </w:pPr>
            <w:r>
              <w:rPr>
                <w:rFonts w:cs="" w:asciiTheme="majorBidi" w:cstheme="majorBidi" w:hAnsiTheme="majorBidi"/>
                <w:b/>
                <w:bCs/>
                <w:color w:val="auto"/>
                <w:sz w:val="26"/>
                <w:szCs w:val="26"/>
              </w:rPr>
              <w:t>Original customs tariff</w:t>
            </w:r>
          </w:p>
        </w:tc>
        <w:tc>
          <w:tcPr>
            <w:tcW w:w="1072"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color w:val="auto"/>
                <w:sz w:val="26"/>
                <w:szCs w:val="26"/>
              </w:rPr>
            </w:pPr>
            <w:r>
              <w:rPr>
                <w:rFonts w:cs="" w:asciiTheme="majorBidi" w:cstheme="majorBidi" w:hAnsiTheme="majorBidi"/>
                <w:b/>
                <w:bCs/>
                <w:color w:val="auto"/>
                <w:sz w:val="26"/>
                <w:szCs w:val="26"/>
              </w:rPr>
              <w:t>Present customs tariff</w:t>
            </w:r>
          </w:p>
        </w:tc>
        <w:tc>
          <w:tcPr>
            <w:tcW w:w="1088"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color w:val="auto"/>
                <w:sz w:val="26"/>
                <w:szCs w:val="26"/>
              </w:rPr>
            </w:pPr>
            <w:r>
              <w:rPr>
                <w:rFonts w:cs="" w:asciiTheme="majorBidi" w:cstheme="majorBidi" w:hAnsiTheme="majorBidi"/>
                <w:b/>
                <w:bCs/>
                <w:color w:val="auto"/>
                <w:sz w:val="26"/>
                <w:szCs w:val="26"/>
              </w:rPr>
              <w:t>Effective from</w:t>
            </w:r>
          </w:p>
        </w:tc>
        <w:tc>
          <w:tcPr>
            <w:tcW w:w="2417" w:type="dxa"/>
            <w:tcBorders>
              <w:top w:val="single" w:sz="2" w:space="0" w:color="000001"/>
              <w:left w:val="single" w:sz="2" w:space="0" w:color="000001"/>
              <w:bottom w:val="single" w:sz="2" w:space="0" w:color="000001"/>
              <w:right w:val="single" w:sz="2" w:space="0" w:color="000001"/>
            </w:tcBorders>
            <w:shd w:color="auto" w:fill="FFFFFF" w:val="clear"/>
          </w:tcPr>
          <w:p>
            <w:pPr>
              <w:pStyle w:val="TableContents"/>
              <w:widowControl w:val="false"/>
              <w:jc w:val="center"/>
              <w:rPr>
                <w:rFonts w:cs="" w:asciiTheme="majorBidi" w:cstheme="majorBidi" w:hAnsiTheme="majorBidi"/>
                <w:color w:val="auto"/>
                <w:sz w:val="26"/>
                <w:szCs w:val="26"/>
              </w:rPr>
            </w:pPr>
            <w:r>
              <w:rPr>
                <w:rFonts w:cs="" w:asciiTheme="majorBidi" w:cstheme="majorBidi" w:hAnsiTheme="majorBidi"/>
                <w:b/>
                <w:bCs/>
                <w:color w:val="auto"/>
                <w:sz w:val="26"/>
                <w:szCs w:val="26"/>
              </w:rPr>
              <w:t>Remarks if any</w:t>
            </w:r>
          </w:p>
        </w:tc>
      </w:tr>
      <w:tr>
        <w:trPr/>
        <w:tc>
          <w:tcPr>
            <w:tcW w:w="623"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1</w:t>
            </w:r>
          </w:p>
        </w:tc>
        <w:tc>
          <w:tcPr>
            <w:tcW w:w="1308"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Resolution No. 3912 of 2023, exempting imports of 12 goods from customs tariffs, for a period of six months.</w:t>
            </w:r>
          </w:p>
        </w:tc>
        <w:tc>
          <w:tcPr>
            <w:tcW w:w="1016"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0207</w:t>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0207</w:t>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0207</w:t>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0405</w:t>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040510</w:t>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040630</w:t>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0902</w:t>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1506</w:t>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1701</w:t>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1902</w:t>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2309</w:t>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3004</w:t>
            </w:r>
          </w:p>
        </w:tc>
        <w:tc>
          <w:tcPr>
            <w:tcW w:w="1466"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1- Frozen poultry</w:t>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2- Edible poultry entrails and limbs</w:t>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3- Meat parts of poultry birds</w:t>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4- Dairy</w:t>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5- Butter</w:t>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6- Cheese</w:t>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7- Tea</w:t>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8- Animal fats and greases</w:t>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9- Sugar</w:t>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10- Pasta</w:t>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11- Preparations of types used for animal feed</w:t>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12- Medicines</w:t>
            </w:r>
          </w:p>
        </w:tc>
        <w:tc>
          <w:tcPr>
            <w:tcW w:w="994"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tc>
        <w:tc>
          <w:tcPr>
            <w:tcW w:w="1072"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tc>
        <w:tc>
          <w:tcPr>
            <w:tcW w:w="1088"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11</w:t>
            </w:r>
            <w:r>
              <w:rPr>
                <w:rFonts w:cs="" w:asciiTheme="majorBidi" w:cstheme="majorBidi" w:hAnsiTheme="majorBidi"/>
                <w:b/>
                <w:bCs/>
                <w:color w:val="auto"/>
                <w:sz w:val="26"/>
                <w:szCs w:val="26"/>
                <w:vertAlign w:val="superscript"/>
              </w:rPr>
              <w:t>th</w:t>
            </w:r>
            <w:r>
              <w:rPr>
                <w:rFonts w:cs="" w:asciiTheme="majorBidi" w:cstheme="majorBidi" w:hAnsiTheme="majorBidi"/>
                <w:b/>
                <w:bCs/>
                <w:color w:val="auto"/>
                <w:sz w:val="26"/>
                <w:szCs w:val="26"/>
              </w:rPr>
              <w:t xml:space="preserve"> October 2023</w:t>
            </w:r>
          </w:p>
        </w:tc>
        <w:tc>
          <w:tcPr>
            <w:tcW w:w="2417" w:type="dxa"/>
            <w:tcBorders>
              <w:top w:val="single" w:sz="2" w:space="0" w:color="000001"/>
              <w:left w:val="single" w:sz="2" w:space="0" w:color="000001"/>
              <w:bottom w:val="single" w:sz="2" w:space="0" w:color="000001"/>
              <w:right w:val="single" w:sz="2" w:space="0" w:color="000001"/>
            </w:tcBorders>
            <w:shd w:color="auto" w:fill="FFFFFF" w:val="clear"/>
          </w:tcPr>
          <w:p>
            <w:pPr>
              <w:pStyle w:val="TableContents"/>
              <w:widowControl w:val="false"/>
              <w:rPr>
                <w:rFonts w:cs="" w:asciiTheme="majorBidi" w:cstheme="majorBidi" w:hAnsiTheme="majorBidi"/>
                <w:b/>
                <w:bCs/>
                <w:color w:val="auto"/>
                <w:sz w:val="26"/>
                <w:szCs w:val="26"/>
              </w:rPr>
            </w:pPr>
            <w:r>
              <w:rPr>
                <w:rFonts w:cs="" w:asciiTheme="majorBidi" w:cstheme="majorBidi" w:hAnsiTheme="majorBidi"/>
                <w:b/>
                <w:bCs/>
                <w:color w:val="auto"/>
                <w:sz w:val="26"/>
                <w:szCs w:val="26"/>
              </w:rPr>
            </w:r>
          </w:p>
        </w:tc>
      </w:tr>
      <w:tr>
        <w:trPr/>
        <w:tc>
          <w:tcPr>
            <w:tcW w:w="9984" w:type="dxa"/>
            <w:gridSpan w:val="8"/>
            <w:tcBorders>
              <w:top w:val="single" w:sz="2" w:space="0" w:color="000001"/>
              <w:left w:val="single" w:sz="2" w:space="0" w:color="000001"/>
              <w:bottom w:val="single" w:sz="2" w:space="0" w:color="000001"/>
              <w:right w:val="single" w:sz="2" w:space="0" w:color="000001"/>
            </w:tcBorders>
            <w:shd w:color="auto" w:fill="FFFFFF" w:val="clear"/>
          </w:tcPr>
          <w:p>
            <w:pPr>
              <w:pStyle w:val="TableContents"/>
              <w:widowControl w:val="false"/>
              <w:jc w:val="center"/>
              <w:rPr>
                <w:rFonts w:cs="" w:asciiTheme="majorBidi" w:cstheme="majorBidi" w:hAnsiTheme="majorBidi"/>
                <w:color w:val="auto"/>
                <w:sz w:val="26"/>
                <w:szCs w:val="26"/>
              </w:rPr>
            </w:pPr>
            <w:r>
              <w:rPr>
                <w:rFonts w:cs="" w:asciiTheme="majorBidi" w:cstheme="majorBidi" w:hAnsiTheme="majorBidi"/>
                <w:color w:val="auto"/>
                <w:sz w:val="26"/>
                <w:szCs w:val="26"/>
              </w:rPr>
            </w:r>
          </w:p>
        </w:tc>
      </w:tr>
    </w:tbl>
    <w:p>
      <w:pPr>
        <w:pStyle w:val="Standard"/>
        <w:spacing w:before="0" w:after="0"/>
        <w:rPr>
          <w:rFonts w:cs="" w:asciiTheme="majorBidi" w:cstheme="majorBidi" w:hAnsiTheme="majorBidi"/>
          <w:color w:val="auto"/>
          <w:sz w:val="26"/>
          <w:szCs w:val="26"/>
        </w:rPr>
      </w:pPr>
      <w:r>
        <w:rPr>
          <w:rFonts w:cs="" w:asciiTheme="majorBidi" w:cstheme="majorBidi" w:hAnsiTheme="majorBidi"/>
          <w:color w:val="auto"/>
          <w:sz w:val="26"/>
          <w:szCs w:val="26"/>
        </w:rPr>
      </w:r>
    </w:p>
    <w:p>
      <w:pPr>
        <w:pStyle w:val="Standard"/>
        <w:spacing w:before="0" w:after="0"/>
        <w:jc w:val="both"/>
        <w:rPr>
          <w:rFonts w:cs="" w:asciiTheme="majorBidi" w:cstheme="majorBidi" w:hAnsiTheme="majorBidi"/>
          <w:color w:val="auto"/>
          <w:sz w:val="26"/>
          <w:szCs w:val="26"/>
        </w:rPr>
      </w:pPr>
      <w:r>
        <w:rPr>
          <w:rFonts w:cs="" w:asciiTheme="majorBidi" w:cstheme="majorBidi" w:hAnsiTheme="majorBidi"/>
          <w:color w:val="auto"/>
          <w:sz w:val="26"/>
          <w:szCs w:val="26"/>
        </w:rPr>
        <w:t xml:space="preserve">b. </w:t>
        <w:tab/>
        <w:t xml:space="preserve">Alerts on non-tariff measures (SPS/TBT/import and export procedures/ restrictions/ </w:t>
        <w:tab/>
        <w:t>prohibitions, licensing/STEs etc.)</w:t>
      </w:r>
    </w:p>
    <w:p>
      <w:pPr>
        <w:pStyle w:val="Standard"/>
        <w:spacing w:before="0" w:after="0"/>
        <w:rPr>
          <w:rFonts w:cs="" w:asciiTheme="majorBidi" w:cstheme="majorBidi" w:hAnsiTheme="majorBidi"/>
          <w:color w:val="auto"/>
          <w:sz w:val="26"/>
          <w:szCs w:val="26"/>
        </w:rPr>
      </w:pPr>
      <w:r>
        <w:rPr>
          <w:rFonts w:cs="" w:asciiTheme="majorBidi" w:cstheme="majorBidi" w:hAnsiTheme="majorBidi"/>
          <w:color w:val="auto"/>
          <w:sz w:val="26"/>
          <w:szCs w:val="26"/>
        </w:rPr>
      </w:r>
    </w:p>
    <w:tbl>
      <w:tblPr>
        <w:tblW w:w="9990" w:type="dxa"/>
        <w:jc w:val="left"/>
        <w:tblInd w:w="3" w:type="dxa"/>
        <w:tblLayout w:type="fixed"/>
        <w:tblCellMar>
          <w:top w:w="55" w:type="dxa"/>
          <w:left w:w="36" w:type="dxa"/>
          <w:bottom w:w="55" w:type="dxa"/>
          <w:right w:w="55" w:type="dxa"/>
        </w:tblCellMar>
        <w:tblLook w:val="0000" w:noHBand="0" w:noVBand="0" w:firstColumn="0" w:lastRow="0" w:lastColumn="0" w:firstRow="0"/>
      </w:tblPr>
      <w:tblGrid>
        <w:gridCol w:w="735"/>
        <w:gridCol w:w="1156"/>
        <w:gridCol w:w="1438"/>
        <w:gridCol w:w="1715"/>
        <w:gridCol w:w="1524"/>
        <w:gridCol w:w="3421"/>
      </w:tblGrid>
      <w:tr>
        <w:trPr/>
        <w:tc>
          <w:tcPr>
            <w:tcW w:w="735"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color w:val="auto"/>
                <w:sz w:val="26"/>
                <w:szCs w:val="26"/>
              </w:rPr>
            </w:pPr>
            <w:r>
              <w:rPr>
                <w:rFonts w:cs="" w:asciiTheme="majorBidi" w:cstheme="majorBidi" w:hAnsiTheme="majorBidi"/>
                <w:b/>
                <w:bCs/>
                <w:color w:val="auto"/>
                <w:sz w:val="26"/>
                <w:szCs w:val="26"/>
              </w:rPr>
              <w:t>Sl. No.</w:t>
            </w:r>
          </w:p>
        </w:tc>
        <w:tc>
          <w:tcPr>
            <w:tcW w:w="1156"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color w:val="auto"/>
                <w:sz w:val="26"/>
                <w:szCs w:val="26"/>
              </w:rPr>
            </w:pPr>
            <w:r>
              <w:rPr>
                <w:rFonts w:cs="" w:asciiTheme="majorBidi" w:cstheme="majorBidi" w:hAnsiTheme="majorBidi"/>
                <w:b/>
                <w:bCs/>
                <w:color w:val="auto"/>
                <w:sz w:val="26"/>
                <w:szCs w:val="26"/>
              </w:rPr>
              <w:t>Notification no./ date</w:t>
            </w:r>
          </w:p>
        </w:tc>
        <w:tc>
          <w:tcPr>
            <w:tcW w:w="1438"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color w:val="auto"/>
                <w:sz w:val="26"/>
                <w:szCs w:val="26"/>
              </w:rPr>
            </w:pPr>
            <w:r>
              <w:rPr>
                <w:rFonts w:cs="" w:asciiTheme="majorBidi" w:cstheme="majorBidi" w:hAnsiTheme="majorBidi"/>
                <w:b/>
                <w:bCs/>
                <w:color w:val="auto"/>
                <w:sz w:val="26"/>
                <w:szCs w:val="26"/>
              </w:rPr>
              <w:t>Measure</w:t>
            </w:r>
          </w:p>
        </w:tc>
        <w:tc>
          <w:tcPr>
            <w:tcW w:w="1715"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color w:val="auto"/>
                <w:sz w:val="26"/>
                <w:szCs w:val="26"/>
              </w:rPr>
            </w:pPr>
            <w:r>
              <w:rPr>
                <w:rFonts w:cs="" w:asciiTheme="majorBidi" w:cstheme="majorBidi" w:hAnsiTheme="majorBidi"/>
                <w:b/>
                <w:bCs/>
                <w:color w:val="auto"/>
                <w:sz w:val="26"/>
                <w:szCs w:val="26"/>
              </w:rPr>
              <w:t>HS Codes</w:t>
            </w:r>
          </w:p>
        </w:tc>
        <w:tc>
          <w:tcPr>
            <w:tcW w:w="1524"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color w:val="auto"/>
                <w:sz w:val="26"/>
                <w:szCs w:val="26"/>
              </w:rPr>
            </w:pPr>
            <w:r>
              <w:rPr>
                <w:rFonts w:cs="" w:asciiTheme="majorBidi" w:cstheme="majorBidi" w:hAnsiTheme="majorBidi"/>
                <w:b/>
                <w:bCs/>
                <w:color w:val="auto"/>
                <w:sz w:val="26"/>
                <w:szCs w:val="26"/>
              </w:rPr>
              <w:t>Effective from</w:t>
            </w:r>
          </w:p>
        </w:tc>
        <w:tc>
          <w:tcPr>
            <w:tcW w:w="3421" w:type="dxa"/>
            <w:tcBorders>
              <w:top w:val="single" w:sz="2" w:space="0" w:color="000001"/>
              <w:left w:val="single" w:sz="2" w:space="0" w:color="000001"/>
              <w:bottom w:val="single" w:sz="2" w:space="0" w:color="000001"/>
              <w:right w:val="single" w:sz="2" w:space="0" w:color="000001"/>
            </w:tcBorders>
            <w:shd w:color="auto" w:fill="FFFFFF" w:val="clear"/>
          </w:tcPr>
          <w:p>
            <w:pPr>
              <w:pStyle w:val="TableContents"/>
              <w:widowControl w:val="false"/>
              <w:jc w:val="center"/>
              <w:rPr>
                <w:rFonts w:cs="" w:asciiTheme="majorBidi" w:cstheme="majorBidi" w:hAnsiTheme="majorBidi"/>
                <w:color w:val="auto"/>
                <w:sz w:val="26"/>
                <w:szCs w:val="26"/>
              </w:rPr>
            </w:pPr>
            <w:r>
              <w:rPr>
                <w:rFonts w:cs="" w:asciiTheme="majorBidi" w:cstheme="majorBidi" w:hAnsiTheme="majorBidi"/>
                <w:b/>
                <w:bCs/>
                <w:color w:val="auto"/>
                <w:sz w:val="26"/>
                <w:szCs w:val="26"/>
              </w:rPr>
              <w:t>Remarks if any</w:t>
            </w:r>
          </w:p>
        </w:tc>
      </w:tr>
      <w:tr>
        <w:trPr/>
        <w:tc>
          <w:tcPr>
            <w:tcW w:w="735"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1.</w:t>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2.</w:t>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3.</w:t>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4.</w:t>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5.</w:t>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tc>
        <w:tc>
          <w:tcPr>
            <w:tcW w:w="1156"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22 May 2024</w:t>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22 May 2024</w:t>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22 May 2024</w:t>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lang w:bidi="ar-EG"/>
              </w:rPr>
            </w:pPr>
            <w:r>
              <w:rPr>
                <w:rFonts w:cs="" w:asciiTheme="majorBidi" w:cstheme="majorBidi" w:hAnsiTheme="majorBidi"/>
                <w:b/>
                <w:bCs/>
                <w:color w:val="auto"/>
                <w:sz w:val="26"/>
                <w:szCs w:val="26"/>
                <w:lang w:bidi="ar-EG"/>
              </w:rPr>
              <w:t>22 May 2024</w:t>
            </w:r>
          </w:p>
          <w:p>
            <w:pPr>
              <w:pStyle w:val="TableContents"/>
              <w:widowControl w:val="false"/>
              <w:jc w:val="center"/>
              <w:rPr>
                <w:rFonts w:cs="" w:asciiTheme="majorBidi" w:cstheme="majorBidi" w:hAnsiTheme="majorBidi"/>
                <w:b/>
                <w:bCs/>
                <w:color w:val="auto"/>
                <w:sz w:val="26"/>
                <w:szCs w:val="26"/>
                <w:lang w:bidi="ar-EG"/>
              </w:rPr>
            </w:pPr>
            <w:r>
              <w:rPr>
                <w:rFonts w:cs="" w:asciiTheme="majorBidi" w:cstheme="majorBidi" w:hAnsiTheme="majorBidi"/>
                <w:b/>
                <w:bCs/>
                <w:color w:val="auto"/>
                <w:sz w:val="26"/>
                <w:szCs w:val="26"/>
                <w:lang w:bidi="ar-EG"/>
              </w:rPr>
            </w:r>
          </w:p>
          <w:p>
            <w:pPr>
              <w:pStyle w:val="TableContents"/>
              <w:widowControl w:val="false"/>
              <w:jc w:val="center"/>
              <w:rPr>
                <w:rFonts w:cs="" w:asciiTheme="majorBidi" w:cstheme="majorBidi" w:hAnsiTheme="majorBidi"/>
                <w:b/>
                <w:bCs/>
                <w:color w:val="auto"/>
                <w:sz w:val="26"/>
                <w:szCs w:val="26"/>
                <w:lang w:bidi="ar-EG"/>
              </w:rPr>
            </w:pPr>
            <w:r>
              <w:rPr>
                <w:rFonts w:cs="" w:asciiTheme="majorBidi" w:cstheme="majorBidi" w:hAnsiTheme="majorBidi"/>
                <w:b/>
                <w:bCs/>
                <w:color w:val="auto"/>
                <w:sz w:val="26"/>
                <w:szCs w:val="26"/>
                <w:lang w:bidi="ar-EG"/>
              </w:rPr>
            </w:r>
          </w:p>
          <w:p>
            <w:pPr>
              <w:pStyle w:val="TableContents"/>
              <w:widowControl w:val="false"/>
              <w:jc w:val="center"/>
              <w:rPr>
                <w:rFonts w:cs="" w:asciiTheme="majorBidi" w:cstheme="majorBidi" w:hAnsiTheme="majorBidi"/>
                <w:b/>
                <w:bCs/>
                <w:color w:val="auto"/>
                <w:sz w:val="26"/>
                <w:szCs w:val="26"/>
                <w:lang w:bidi="ar-EG"/>
              </w:rPr>
            </w:pPr>
            <w:r>
              <w:rPr>
                <w:rFonts w:cs="" w:asciiTheme="majorBidi" w:cstheme="majorBidi" w:hAnsiTheme="majorBidi"/>
                <w:b/>
                <w:bCs/>
                <w:color w:val="auto"/>
                <w:sz w:val="26"/>
                <w:szCs w:val="26"/>
                <w:lang w:bidi="ar-EG"/>
              </w:rPr>
            </w:r>
          </w:p>
          <w:p>
            <w:pPr>
              <w:pStyle w:val="TableContents"/>
              <w:widowControl w:val="false"/>
              <w:jc w:val="center"/>
              <w:rPr>
                <w:rFonts w:cs="" w:asciiTheme="majorBidi" w:cstheme="majorBidi" w:hAnsiTheme="majorBidi"/>
                <w:b/>
                <w:bCs/>
                <w:color w:val="auto"/>
                <w:sz w:val="26"/>
                <w:szCs w:val="26"/>
                <w:lang w:bidi="ar-EG"/>
              </w:rPr>
            </w:pPr>
            <w:r>
              <w:rPr>
                <w:rFonts w:cs="" w:asciiTheme="majorBidi" w:cstheme="majorBidi" w:hAnsiTheme="majorBidi"/>
                <w:b/>
                <w:bCs/>
                <w:color w:val="auto"/>
                <w:sz w:val="26"/>
                <w:szCs w:val="26"/>
                <w:lang w:bidi="ar-EG"/>
              </w:rPr>
            </w:r>
          </w:p>
          <w:p>
            <w:pPr>
              <w:pStyle w:val="TableContents"/>
              <w:widowControl w:val="false"/>
              <w:jc w:val="center"/>
              <w:rPr>
                <w:rFonts w:cs="" w:asciiTheme="majorBidi" w:cstheme="majorBidi" w:hAnsiTheme="majorBidi"/>
                <w:b/>
                <w:bCs/>
                <w:color w:val="auto"/>
                <w:sz w:val="26"/>
                <w:szCs w:val="26"/>
                <w:lang w:bidi="ar-EG"/>
              </w:rPr>
            </w:pPr>
            <w:r>
              <w:rPr>
                <w:rFonts w:cs="" w:asciiTheme="majorBidi" w:cstheme="majorBidi" w:hAnsiTheme="majorBidi"/>
                <w:b/>
                <w:bCs/>
                <w:color w:val="auto"/>
                <w:sz w:val="26"/>
                <w:szCs w:val="26"/>
                <w:lang w:bidi="ar-EG"/>
              </w:rPr>
            </w:r>
          </w:p>
          <w:p>
            <w:pPr>
              <w:pStyle w:val="TableContents"/>
              <w:widowControl w:val="false"/>
              <w:jc w:val="center"/>
              <w:rPr>
                <w:rFonts w:cs="" w:asciiTheme="majorBidi" w:cstheme="majorBidi" w:hAnsiTheme="majorBidi"/>
                <w:b/>
                <w:bCs/>
                <w:color w:val="auto"/>
                <w:sz w:val="26"/>
                <w:szCs w:val="26"/>
                <w:lang w:bidi="ar-EG"/>
              </w:rPr>
            </w:pPr>
            <w:r>
              <w:rPr>
                <w:rFonts w:cs="" w:asciiTheme="majorBidi" w:cstheme="majorBidi" w:hAnsiTheme="majorBidi"/>
                <w:b/>
                <w:bCs/>
                <w:color w:val="auto"/>
                <w:sz w:val="26"/>
                <w:szCs w:val="26"/>
                <w:lang w:bidi="ar-EG"/>
              </w:rPr>
            </w:r>
          </w:p>
          <w:p>
            <w:pPr>
              <w:pStyle w:val="TableContents"/>
              <w:widowControl w:val="false"/>
              <w:jc w:val="center"/>
              <w:rPr>
                <w:rFonts w:cs="" w:asciiTheme="majorBidi" w:cstheme="majorBidi" w:hAnsiTheme="majorBidi"/>
                <w:b/>
                <w:bCs/>
                <w:color w:val="auto"/>
                <w:sz w:val="26"/>
                <w:szCs w:val="26"/>
                <w:lang w:bidi="ar-EG"/>
              </w:rPr>
            </w:pPr>
            <w:r>
              <w:rPr>
                <w:rFonts w:cs="" w:asciiTheme="majorBidi" w:cstheme="majorBidi" w:hAnsiTheme="majorBidi"/>
                <w:b/>
                <w:bCs/>
                <w:color w:val="auto"/>
                <w:sz w:val="26"/>
                <w:szCs w:val="26"/>
                <w:lang w:bidi="ar-EG"/>
              </w:rPr>
            </w:r>
          </w:p>
          <w:p>
            <w:pPr>
              <w:pStyle w:val="TableContents"/>
              <w:widowControl w:val="false"/>
              <w:jc w:val="center"/>
              <w:rPr>
                <w:rFonts w:cs="" w:asciiTheme="majorBidi" w:cstheme="majorBidi" w:hAnsiTheme="majorBidi"/>
                <w:b/>
                <w:bCs/>
                <w:color w:val="auto"/>
                <w:sz w:val="26"/>
                <w:szCs w:val="26"/>
                <w:lang w:bidi="ar-EG"/>
              </w:rPr>
            </w:pPr>
            <w:r>
              <w:rPr>
                <w:rFonts w:cs="" w:asciiTheme="majorBidi" w:cstheme="majorBidi" w:hAnsiTheme="majorBidi"/>
                <w:b/>
                <w:bCs/>
                <w:color w:val="auto"/>
                <w:sz w:val="26"/>
                <w:szCs w:val="26"/>
                <w:lang w:bidi="ar-EG"/>
              </w:rPr>
            </w:r>
          </w:p>
          <w:p>
            <w:pPr>
              <w:pStyle w:val="TableContents"/>
              <w:widowControl w:val="false"/>
              <w:jc w:val="center"/>
              <w:rPr>
                <w:rFonts w:cs="" w:asciiTheme="majorBidi" w:cstheme="majorBidi" w:hAnsiTheme="majorBidi"/>
                <w:b/>
                <w:bCs/>
                <w:color w:val="auto"/>
                <w:sz w:val="26"/>
                <w:szCs w:val="26"/>
                <w:lang w:bidi="ar-EG"/>
              </w:rPr>
            </w:pPr>
            <w:r>
              <w:rPr>
                <w:rFonts w:cs="" w:asciiTheme="majorBidi" w:cstheme="majorBidi" w:hAnsiTheme="majorBidi"/>
                <w:b/>
                <w:bCs/>
                <w:color w:val="auto"/>
                <w:sz w:val="26"/>
                <w:szCs w:val="26"/>
                <w:lang w:bidi="ar-EG"/>
              </w:rPr>
            </w:r>
          </w:p>
          <w:p>
            <w:pPr>
              <w:pStyle w:val="TableContents"/>
              <w:widowControl w:val="false"/>
              <w:jc w:val="center"/>
              <w:rPr>
                <w:rFonts w:cs="" w:asciiTheme="majorBidi" w:cstheme="majorBidi" w:hAnsiTheme="majorBidi"/>
                <w:b/>
                <w:bCs/>
                <w:color w:val="auto"/>
                <w:sz w:val="26"/>
                <w:szCs w:val="26"/>
                <w:lang w:bidi="ar-EG"/>
              </w:rPr>
            </w:pPr>
            <w:r>
              <w:rPr>
                <w:rFonts w:cs="" w:asciiTheme="majorBidi" w:cstheme="majorBidi" w:hAnsiTheme="majorBidi"/>
                <w:b/>
                <w:bCs/>
                <w:color w:val="auto"/>
                <w:sz w:val="26"/>
                <w:szCs w:val="26"/>
                <w:lang w:bidi="ar-EG"/>
              </w:rPr>
            </w:r>
          </w:p>
          <w:p>
            <w:pPr>
              <w:pStyle w:val="TableContents"/>
              <w:widowControl w:val="false"/>
              <w:jc w:val="center"/>
              <w:rPr>
                <w:rFonts w:cs="" w:asciiTheme="majorBidi" w:cstheme="majorBidi" w:hAnsiTheme="majorBidi"/>
                <w:b/>
                <w:bCs/>
                <w:color w:val="auto"/>
                <w:sz w:val="26"/>
                <w:szCs w:val="26"/>
                <w:lang w:bidi="ar-EG"/>
              </w:rPr>
            </w:pPr>
            <w:r>
              <w:rPr>
                <w:rFonts w:cs="" w:asciiTheme="majorBidi" w:cstheme="majorBidi" w:hAnsiTheme="majorBidi"/>
                <w:b/>
                <w:bCs/>
                <w:color w:val="auto"/>
                <w:sz w:val="26"/>
                <w:szCs w:val="26"/>
                <w:lang w:bidi="ar-EG"/>
              </w:rPr>
            </w:r>
          </w:p>
          <w:p>
            <w:pPr>
              <w:pStyle w:val="TableContents"/>
              <w:widowControl w:val="false"/>
              <w:jc w:val="center"/>
              <w:rPr>
                <w:rFonts w:cs="" w:asciiTheme="majorBidi" w:cstheme="majorBidi" w:hAnsiTheme="majorBidi"/>
                <w:b/>
                <w:bCs/>
                <w:color w:val="auto"/>
                <w:sz w:val="26"/>
                <w:szCs w:val="26"/>
                <w:lang w:bidi="ar-EG"/>
              </w:rPr>
            </w:pPr>
            <w:r>
              <w:rPr>
                <w:rFonts w:cs="" w:asciiTheme="majorBidi" w:cstheme="majorBidi" w:hAnsiTheme="majorBidi"/>
                <w:b/>
                <w:bCs/>
                <w:color w:val="auto"/>
                <w:sz w:val="26"/>
                <w:szCs w:val="26"/>
                <w:lang w:bidi="ar-EG"/>
              </w:rPr>
              <w:t>23 May 2024</w:t>
            </w:r>
          </w:p>
          <w:p>
            <w:pPr>
              <w:pStyle w:val="TableContents"/>
              <w:widowControl w:val="false"/>
              <w:jc w:val="center"/>
              <w:rPr>
                <w:rFonts w:cs="" w:asciiTheme="majorBidi" w:cstheme="majorBidi" w:hAnsiTheme="majorBidi"/>
                <w:b/>
                <w:bCs/>
                <w:color w:val="auto"/>
                <w:sz w:val="26"/>
                <w:szCs w:val="26"/>
                <w:lang w:bidi="ar-EG"/>
              </w:rPr>
            </w:pPr>
            <w:r>
              <w:rPr>
                <w:rFonts w:cs="" w:asciiTheme="majorBidi" w:cstheme="majorBidi" w:hAnsiTheme="majorBidi"/>
                <w:b/>
                <w:bCs/>
                <w:color w:val="auto"/>
                <w:sz w:val="26"/>
                <w:szCs w:val="26"/>
                <w:lang w:bidi="ar-EG"/>
              </w:rPr>
            </w:r>
          </w:p>
        </w:tc>
        <w:tc>
          <w:tcPr>
            <w:tcW w:w="1438"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imes New Roman" w:hAnsi="Times New Roman" w:cstheme="majorBidi"/>
                <w:b/>
                <w:bCs/>
                <w:color w:val="auto"/>
                <w:sz w:val="26"/>
                <w:szCs w:val="26"/>
              </w:rPr>
              <w:t>The Ministerial Decree No. 141/2024 (2 page(s), in Arabic) is concerned with ES 4944 /2005 for “dental equipment connection for supply and waste</w:t>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 xml:space="preserve">Ministerial Decree No.141/2024 which cancels the Egyptian Standard ES 273-4/2005 </w:t>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 xml:space="preserve">Ministerial Decree No.141/2024 which cancels the Egyptian Standard ES 4761/2005 </w:t>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Ministerial Decree No.141/2024 which cancels the Egyptian Standard ES 4759/2018.</w:t>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The Ministerial Decree No. 133/2024 for moisture content of Wheat</w:t>
            </w:r>
          </w:p>
        </w:tc>
        <w:tc>
          <w:tcPr>
            <w:tcW w:w="1715"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4944</w:t>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5201</w:t>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5201</w:t>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5201</w:t>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1001</w:t>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tc>
        <w:tc>
          <w:tcPr>
            <w:tcW w:w="1524"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14 June 2024</w:t>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12 June 2024</w:t>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12 June 2024</w:t>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12 June 2024</w:t>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5 June 2024</w:t>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tc>
        <w:tc>
          <w:tcPr>
            <w:tcW w:w="3421" w:type="dxa"/>
            <w:tcBorders>
              <w:top w:val="single" w:sz="2" w:space="0" w:color="000001"/>
              <w:left w:val="single" w:sz="2" w:space="0" w:color="000001"/>
              <w:bottom w:val="single" w:sz="2" w:space="0" w:color="000001"/>
              <w:right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Dental equipment</w:t>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ab/>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Chemical, textile and engineering products</w:t>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Chemical, textile and engineering products</w:t>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Chemical, textile and engineering products</w:t>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Wheat</w:t>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tc>
      </w:tr>
      <w:tr>
        <w:trPr/>
        <w:tc>
          <w:tcPr>
            <w:tcW w:w="9989" w:type="dxa"/>
            <w:gridSpan w:val="6"/>
            <w:tcBorders>
              <w:top w:val="single" w:sz="2" w:space="0" w:color="000001"/>
              <w:left w:val="single" w:sz="2" w:space="0" w:color="000001"/>
              <w:bottom w:val="single" w:sz="2" w:space="0" w:color="000001"/>
              <w:right w:val="single" w:sz="2" w:space="0" w:color="000001"/>
            </w:tcBorders>
            <w:shd w:color="auto" w:fill="FFFFFF" w:val="clear"/>
          </w:tcPr>
          <w:p>
            <w:pPr>
              <w:pStyle w:val="TableContents"/>
              <w:widowControl w:val="false"/>
              <w:jc w:val="center"/>
              <w:rPr>
                <w:rFonts w:cs="" w:asciiTheme="majorBidi" w:cstheme="majorBidi" w:hAnsiTheme="majorBidi"/>
                <w:color w:val="auto"/>
                <w:sz w:val="26"/>
                <w:szCs w:val="26"/>
              </w:rPr>
            </w:pPr>
            <w:r>
              <w:rPr>
                <w:rFonts w:cs="" w:asciiTheme="majorBidi" w:cstheme="majorBidi" w:hAnsiTheme="majorBidi"/>
                <w:color w:val="auto"/>
                <w:sz w:val="26"/>
                <w:szCs w:val="26"/>
              </w:rPr>
            </w:r>
          </w:p>
        </w:tc>
      </w:tr>
    </w:tbl>
    <w:p>
      <w:pPr>
        <w:pStyle w:val="Standard"/>
        <w:spacing w:before="0" w:after="0"/>
        <w:rPr>
          <w:rFonts w:cs="" w:asciiTheme="majorBidi" w:cstheme="majorBidi" w:hAnsiTheme="majorBidi"/>
          <w:color w:val="auto"/>
          <w:sz w:val="26"/>
          <w:szCs w:val="26"/>
        </w:rPr>
      </w:pPr>
      <w:r>
        <w:rPr>
          <w:rFonts w:cs="" w:asciiTheme="majorBidi" w:cstheme="majorBidi" w:hAnsiTheme="majorBidi"/>
          <w:color w:val="auto"/>
          <w:sz w:val="26"/>
          <w:szCs w:val="26"/>
        </w:rPr>
        <w:t>s</w:t>
      </w:r>
    </w:p>
    <w:p>
      <w:pPr>
        <w:pStyle w:val="Standard"/>
        <w:spacing w:before="0" w:after="0"/>
        <w:rPr>
          <w:rFonts w:cs="" w:asciiTheme="majorBidi" w:cstheme="majorBidi" w:hAnsiTheme="majorBidi"/>
          <w:color w:val="auto"/>
          <w:sz w:val="26"/>
          <w:szCs w:val="26"/>
        </w:rPr>
      </w:pPr>
      <w:r>
        <w:rPr>
          <w:rFonts w:cs="" w:asciiTheme="majorBidi" w:cstheme="majorBidi" w:hAnsiTheme="majorBidi"/>
          <w:color w:val="auto"/>
          <w:sz w:val="26"/>
          <w:szCs w:val="26"/>
        </w:rPr>
        <w:t xml:space="preserve">c.  </w:t>
        <w:tab/>
        <w:t>Alerts on standards, technical regulations and conformity assessment procedures:</w:t>
      </w:r>
    </w:p>
    <w:p>
      <w:pPr>
        <w:pStyle w:val="Standard"/>
        <w:spacing w:before="0" w:after="0"/>
        <w:rPr>
          <w:rFonts w:cs="" w:asciiTheme="majorBidi" w:cstheme="majorBidi" w:hAnsiTheme="majorBidi"/>
          <w:color w:val="auto"/>
          <w:sz w:val="26"/>
          <w:szCs w:val="26"/>
        </w:rPr>
      </w:pPr>
      <w:r>
        <w:rPr>
          <w:rFonts w:cs="" w:asciiTheme="majorBidi" w:cstheme="majorBidi" w:hAnsiTheme="majorBidi"/>
          <w:color w:val="auto"/>
          <w:sz w:val="26"/>
          <w:szCs w:val="26"/>
        </w:rPr>
      </w:r>
    </w:p>
    <w:tbl>
      <w:tblPr>
        <w:tblW w:w="9990" w:type="dxa"/>
        <w:jc w:val="left"/>
        <w:tblInd w:w="3" w:type="dxa"/>
        <w:tblLayout w:type="fixed"/>
        <w:tblCellMar>
          <w:top w:w="55" w:type="dxa"/>
          <w:left w:w="36" w:type="dxa"/>
          <w:bottom w:w="55" w:type="dxa"/>
          <w:right w:w="55" w:type="dxa"/>
        </w:tblCellMar>
        <w:tblLook w:val="0000" w:noHBand="0" w:noVBand="0" w:firstColumn="0" w:lastRow="0" w:lastColumn="0" w:firstRow="0"/>
      </w:tblPr>
      <w:tblGrid>
        <w:gridCol w:w="676"/>
        <w:gridCol w:w="1185"/>
        <w:gridCol w:w="1559"/>
        <w:gridCol w:w="1620"/>
        <w:gridCol w:w="1532"/>
        <w:gridCol w:w="3417"/>
      </w:tblGrid>
      <w:tr>
        <w:trPr/>
        <w:tc>
          <w:tcPr>
            <w:tcW w:w="676"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color w:val="auto"/>
                <w:sz w:val="26"/>
                <w:szCs w:val="26"/>
              </w:rPr>
            </w:pPr>
            <w:r>
              <w:rPr>
                <w:rFonts w:cs="" w:asciiTheme="majorBidi" w:cstheme="majorBidi" w:hAnsiTheme="majorBidi"/>
                <w:b/>
                <w:bCs/>
                <w:color w:val="auto"/>
                <w:sz w:val="26"/>
                <w:szCs w:val="26"/>
              </w:rPr>
              <w:t>Sl. No.</w:t>
            </w:r>
          </w:p>
        </w:tc>
        <w:tc>
          <w:tcPr>
            <w:tcW w:w="1185"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color w:val="auto"/>
                <w:sz w:val="26"/>
                <w:szCs w:val="26"/>
              </w:rPr>
            </w:pPr>
            <w:r>
              <w:rPr>
                <w:rFonts w:cs="" w:asciiTheme="majorBidi" w:cstheme="majorBidi" w:hAnsiTheme="majorBidi"/>
                <w:b/>
                <w:bCs/>
                <w:color w:val="auto"/>
                <w:sz w:val="26"/>
                <w:szCs w:val="26"/>
              </w:rPr>
              <w:t>Notification no./date</w:t>
            </w:r>
          </w:p>
        </w:tc>
        <w:tc>
          <w:tcPr>
            <w:tcW w:w="1559"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color w:val="auto"/>
                <w:sz w:val="26"/>
                <w:szCs w:val="26"/>
              </w:rPr>
            </w:pPr>
            <w:r>
              <w:rPr>
                <w:rFonts w:cs="" w:asciiTheme="majorBidi" w:cstheme="majorBidi" w:hAnsiTheme="majorBidi"/>
                <w:b/>
                <w:bCs/>
                <w:color w:val="auto"/>
                <w:sz w:val="26"/>
                <w:szCs w:val="26"/>
              </w:rPr>
              <w:t>Standard/technical regulation/ conformity assessment procedure</w:t>
            </w:r>
          </w:p>
        </w:tc>
        <w:tc>
          <w:tcPr>
            <w:tcW w:w="1620"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color w:val="auto"/>
                <w:sz w:val="26"/>
                <w:szCs w:val="26"/>
              </w:rPr>
            </w:pPr>
            <w:r>
              <w:rPr>
                <w:rFonts w:cs="" w:asciiTheme="majorBidi" w:cstheme="majorBidi" w:hAnsiTheme="majorBidi"/>
                <w:b/>
                <w:bCs/>
                <w:color w:val="auto"/>
                <w:sz w:val="26"/>
                <w:szCs w:val="26"/>
              </w:rPr>
              <w:t>HS Codes</w:t>
            </w:r>
          </w:p>
        </w:tc>
        <w:tc>
          <w:tcPr>
            <w:tcW w:w="1532"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color w:val="auto"/>
                <w:sz w:val="26"/>
                <w:szCs w:val="26"/>
              </w:rPr>
            </w:pPr>
            <w:r>
              <w:rPr>
                <w:rFonts w:cs="" w:asciiTheme="majorBidi" w:cstheme="majorBidi" w:hAnsiTheme="majorBidi"/>
                <w:b/>
                <w:bCs/>
                <w:color w:val="auto"/>
                <w:sz w:val="26"/>
                <w:szCs w:val="26"/>
              </w:rPr>
              <w:t>Effective from</w:t>
            </w:r>
          </w:p>
        </w:tc>
        <w:tc>
          <w:tcPr>
            <w:tcW w:w="3417" w:type="dxa"/>
            <w:tcBorders>
              <w:top w:val="single" w:sz="2" w:space="0" w:color="000001"/>
              <w:left w:val="single" w:sz="2" w:space="0" w:color="000001"/>
              <w:bottom w:val="single" w:sz="2" w:space="0" w:color="000001"/>
              <w:right w:val="single" w:sz="2" w:space="0" w:color="000001"/>
            </w:tcBorders>
            <w:shd w:color="auto" w:fill="FFFFFF" w:val="clear"/>
          </w:tcPr>
          <w:p>
            <w:pPr>
              <w:pStyle w:val="TableContents"/>
              <w:widowControl w:val="false"/>
              <w:jc w:val="center"/>
              <w:rPr>
                <w:rFonts w:cs="" w:asciiTheme="majorBidi" w:cstheme="majorBidi" w:hAnsiTheme="majorBidi"/>
                <w:color w:val="auto"/>
                <w:sz w:val="26"/>
                <w:szCs w:val="26"/>
              </w:rPr>
            </w:pPr>
            <w:r>
              <w:rPr>
                <w:rFonts w:cs="" w:asciiTheme="majorBidi" w:cstheme="majorBidi" w:hAnsiTheme="majorBidi"/>
                <w:b/>
                <w:bCs/>
                <w:color w:val="auto"/>
                <w:sz w:val="26"/>
                <w:szCs w:val="26"/>
              </w:rPr>
              <w:t>Remarks if any</w:t>
            </w:r>
          </w:p>
        </w:tc>
      </w:tr>
      <w:tr>
        <w:trPr/>
        <w:tc>
          <w:tcPr>
            <w:tcW w:w="676"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1</w:t>
            </w:r>
          </w:p>
        </w:tc>
        <w:tc>
          <w:tcPr>
            <w:tcW w:w="1185"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eastAsia="Calibri" w:cs="" w:asciiTheme="majorBidi" w:cstheme="majorBidi" w:hAnsiTheme="majorBidi"/>
                <w:bCs/>
                <w:color w:val="auto"/>
                <w:sz w:val="26"/>
                <w:szCs w:val="26"/>
              </w:rPr>
              <w:t>NIL</w:t>
            </w:r>
          </w:p>
        </w:tc>
        <w:tc>
          <w:tcPr>
            <w:tcW w:w="1559"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tc>
        <w:tc>
          <w:tcPr>
            <w:tcW w:w="1620"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color w:val="auto"/>
                <w:sz w:val="26"/>
                <w:szCs w:val="26"/>
              </w:rPr>
            </w:pPr>
            <w:r>
              <w:rPr>
                <w:rFonts w:cs="" w:asciiTheme="majorBidi" w:cstheme="majorBidi" w:hAnsiTheme="majorBidi"/>
                <w:color w:val="auto"/>
                <w:sz w:val="26"/>
                <w:szCs w:val="26"/>
              </w:rPr>
            </w:r>
          </w:p>
        </w:tc>
        <w:tc>
          <w:tcPr>
            <w:tcW w:w="1532"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tc>
        <w:tc>
          <w:tcPr>
            <w:tcW w:w="3417" w:type="dxa"/>
            <w:tcBorders>
              <w:top w:val="single" w:sz="2" w:space="0" w:color="000001"/>
              <w:left w:val="single" w:sz="2" w:space="0" w:color="000001"/>
              <w:bottom w:val="single" w:sz="2" w:space="0" w:color="000001"/>
              <w:right w:val="single" w:sz="2" w:space="0" w:color="000001"/>
            </w:tcBorders>
            <w:shd w:color="auto" w:fill="FFFFFF" w:val="clear"/>
          </w:tcPr>
          <w:p>
            <w:pPr>
              <w:pStyle w:val="TableContents"/>
              <w:widowControl w:val="false"/>
              <w:rPr>
                <w:rFonts w:cs="" w:asciiTheme="majorBidi" w:cstheme="majorBidi" w:hAnsiTheme="majorBidi"/>
                <w:b/>
                <w:bCs/>
                <w:color w:val="auto"/>
                <w:sz w:val="26"/>
                <w:szCs w:val="26"/>
              </w:rPr>
            </w:pPr>
            <w:r>
              <w:rPr>
                <w:rFonts w:cs="" w:asciiTheme="majorBidi" w:cstheme="majorBidi" w:hAnsiTheme="majorBidi"/>
                <w:b/>
                <w:bCs/>
                <w:color w:val="auto"/>
                <w:sz w:val="26"/>
                <w:szCs w:val="26"/>
              </w:rPr>
            </w:r>
          </w:p>
        </w:tc>
      </w:tr>
      <w:tr>
        <w:trPr/>
        <w:tc>
          <w:tcPr>
            <w:tcW w:w="9989" w:type="dxa"/>
            <w:gridSpan w:val="6"/>
            <w:tcBorders>
              <w:top w:val="single" w:sz="2" w:space="0" w:color="000001"/>
              <w:left w:val="single" w:sz="2" w:space="0" w:color="000001"/>
              <w:bottom w:val="single" w:sz="2" w:space="0" w:color="000001"/>
              <w:right w:val="single" w:sz="2" w:space="0" w:color="000001"/>
            </w:tcBorders>
            <w:shd w:color="auto" w:fill="FFFFFF" w:val="clear"/>
          </w:tcPr>
          <w:p>
            <w:pPr>
              <w:pStyle w:val="NoSpacing"/>
              <w:widowControl w:val="false"/>
              <w:rPr>
                <w:rFonts w:cs="" w:asciiTheme="majorBidi" w:cstheme="majorBidi" w:hAnsiTheme="majorBidi"/>
                <w:color w:val="auto"/>
                <w:sz w:val="26"/>
                <w:szCs w:val="26"/>
              </w:rPr>
            </w:pPr>
            <w:r>
              <w:rPr>
                <w:rFonts w:cs="" w:asciiTheme="majorBidi" w:cstheme="majorBidi" w:hAnsiTheme="majorBidi"/>
                <w:color w:val="auto"/>
                <w:sz w:val="26"/>
                <w:szCs w:val="26"/>
              </w:rPr>
            </w:r>
          </w:p>
        </w:tc>
      </w:tr>
    </w:tbl>
    <w:p>
      <w:pPr>
        <w:pStyle w:val="Standard"/>
        <w:spacing w:before="0" w:after="0"/>
        <w:rPr>
          <w:rFonts w:cs="" w:asciiTheme="majorBidi" w:cstheme="majorBidi" w:hAnsiTheme="majorBidi"/>
          <w:color w:val="auto"/>
          <w:sz w:val="26"/>
          <w:szCs w:val="26"/>
        </w:rPr>
      </w:pPr>
      <w:r>
        <w:rPr>
          <w:rFonts w:cs="" w:asciiTheme="majorBidi" w:cstheme="majorBidi" w:hAnsiTheme="majorBidi"/>
          <w:color w:val="auto"/>
          <w:sz w:val="26"/>
          <w:szCs w:val="26"/>
        </w:rPr>
      </w:r>
    </w:p>
    <w:p>
      <w:pPr>
        <w:pStyle w:val="Standard"/>
        <w:spacing w:before="0" w:after="0"/>
        <w:rPr>
          <w:rFonts w:cs="" w:asciiTheme="majorBidi" w:cstheme="majorBidi" w:hAnsiTheme="majorBidi"/>
          <w:color w:val="auto"/>
          <w:sz w:val="26"/>
          <w:szCs w:val="26"/>
        </w:rPr>
      </w:pPr>
      <w:r>
        <w:rPr>
          <w:rFonts w:cs="" w:asciiTheme="majorBidi" w:cstheme="majorBidi" w:hAnsiTheme="majorBidi"/>
          <w:color w:val="auto"/>
          <w:sz w:val="26"/>
          <w:szCs w:val="26"/>
        </w:rPr>
        <w:t xml:space="preserve">d. </w:t>
        <w:tab/>
        <w:t>Alerts on trade defense measures taken by respective country:</w:t>
      </w:r>
    </w:p>
    <w:p>
      <w:pPr>
        <w:pStyle w:val="Standard"/>
        <w:spacing w:before="0" w:after="0"/>
        <w:rPr>
          <w:rFonts w:cs="" w:asciiTheme="majorBidi" w:cstheme="majorBidi" w:hAnsiTheme="majorBidi"/>
          <w:color w:val="auto"/>
          <w:sz w:val="26"/>
          <w:szCs w:val="26"/>
        </w:rPr>
      </w:pPr>
      <w:r>
        <w:rPr>
          <w:rFonts w:cs="" w:asciiTheme="majorBidi" w:cstheme="majorBidi" w:hAnsiTheme="majorBidi"/>
          <w:color w:val="auto"/>
          <w:sz w:val="26"/>
          <w:szCs w:val="26"/>
        </w:rPr>
        <w:tab/>
        <w:t>(Safeguards including special safeguard, anti dumping, CVD or anti- subsidy)</w:t>
      </w:r>
    </w:p>
    <w:p>
      <w:pPr>
        <w:pStyle w:val="Standard"/>
        <w:spacing w:before="0" w:after="0"/>
        <w:rPr>
          <w:rFonts w:cs="" w:asciiTheme="majorBidi" w:cstheme="majorBidi" w:hAnsiTheme="majorBidi"/>
          <w:color w:val="auto"/>
          <w:sz w:val="26"/>
          <w:szCs w:val="26"/>
        </w:rPr>
      </w:pPr>
      <w:r>
        <w:rPr>
          <w:rFonts w:cs="" w:asciiTheme="majorBidi" w:cstheme="majorBidi" w:hAnsiTheme="majorBidi"/>
          <w:color w:val="auto"/>
          <w:sz w:val="26"/>
          <w:szCs w:val="26"/>
        </w:rPr>
      </w:r>
    </w:p>
    <w:p>
      <w:pPr>
        <w:pStyle w:val="Standard"/>
        <w:spacing w:before="0" w:after="0"/>
        <w:rPr>
          <w:rFonts w:cs="" w:asciiTheme="majorBidi" w:cstheme="majorBidi" w:hAnsiTheme="majorBidi"/>
          <w:color w:val="auto"/>
          <w:sz w:val="26"/>
          <w:szCs w:val="26"/>
        </w:rPr>
      </w:pPr>
      <w:r>
        <w:rPr>
          <w:rFonts w:cs="" w:asciiTheme="majorBidi" w:cstheme="majorBidi" w:hAnsiTheme="majorBidi"/>
          <w:color w:val="auto"/>
          <w:sz w:val="26"/>
          <w:szCs w:val="26"/>
        </w:rPr>
        <w:t>Two SCOMET cases were verified during the month of June 2024</w:t>
      </w:r>
    </w:p>
    <w:p>
      <w:pPr>
        <w:pStyle w:val="Standard"/>
        <w:spacing w:before="0" w:after="0"/>
        <w:rPr>
          <w:rFonts w:cs="" w:asciiTheme="majorBidi" w:cstheme="majorBidi" w:hAnsiTheme="majorBidi"/>
          <w:color w:val="auto"/>
          <w:sz w:val="26"/>
          <w:szCs w:val="26"/>
        </w:rPr>
      </w:pPr>
      <w:r>
        <w:rPr>
          <w:rFonts w:cs="" w:asciiTheme="majorBidi" w:cstheme="majorBidi" w:hAnsiTheme="majorBidi"/>
          <w:color w:val="auto"/>
          <w:sz w:val="26"/>
          <w:szCs w:val="26"/>
        </w:rPr>
      </w:r>
    </w:p>
    <w:p>
      <w:pPr>
        <w:pStyle w:val="Standard"/>
        <w:spacing w:before="0" w:after="0"/>
        <w:rPr>
          <w:rFonts w:cs="" w:asciiTheme="majorBidi" w:cstheme="majorBidi" w:hAnsiTheme="majorBidi"/>
          <w:color w:val="auto"/>
          <w:sz w:val="26"/>
          <w:szCs w:val="26"/>
        </w:rPr>
      </w:pPr>
      <w:r>
        <w:rPr>
          <w:rFonts w:cs="" w:asciiTheme="majorBidi" w:cstheme="majorBidi" w:hAnsiTheme="majorBidi"/>
          <w:color w:val="auto"/>
          <w:sz w:val="26"/>
          <w:szCs w:val="26"/>
        </w:rPr>
        <w:t xml:space="preserve">2. </w:t>
        <w:tab/>
      </w:r>
      <w:r>
        <w:rPr>
          <w:rFonts w:cs="" w:asciiTheme="majorBidi" w:cstheme="majorBidi" w:hAnsiTheme="majorBidi"/>
          <w:b/>
          <w:bCs/>
          <w:color w:val="auto"/>
          <w:sz w:val="26"/>
          <w:szCs w:val="26"/>
        </w:rPr>
        <w:t>Feedback</w:t>
      </w:r>
    </w:p>
    <w:p>
      <w:pPr>
        <w:pStyle w:val="Standard"/>
        <w:spacing w:before="0" w:after="0"/>
        <w:rPr>
          <w:rFonts w:cs="" w:asciiTheme="majorBidi" w:cstheme="majorBidi" w:hAnsiTheme="majorBidi"/>
          <w:color w:val="auto"/>
          <w:sz w:val="26"/>
          <w:szCs w:val="26"/>
        </w:rPr>
      </w:pPr>
      <w:r>
        <w:rPr>
          <w:rFonts w:cs="" w:asciiTheme="majorBidi" w:cstheme="majorBidi" w:hAnsiTheme="majorBidi"/>
          <w:color w:val="auto"/>
          <w:sz w:val="26"/>
          <w:szCs w:val="26"/>
        </w:rPr>
      </w:r>
    </w:p>
    <w:p>
      <w:pPr>
        <w:pStyle w:val="Standard"/>
        <w:spacing w:before="0" w:after="0"/>
        <w:jc w:val="both"/>
        <w:rPr>
          <w:rFonts w:cs="" w:asciiTheme="majorBidi" w:cstheme="majorBidi" w:hAnsiTheme="majorBidi"/>
          <w:color w:val="auto"/>
          <w:sz w:val="26"/>
          <w:szCs w:val="26"/>
        </w:rPr>
      </w:pPr>
      <w:r>
        <w:rPr>
          <w:rFonts w:cs="" w:asciiTheme="majorBidi" w:cstheme="majorBidi" w:hAnsiTheme="majorBidi"/>
          <w:color w:val="auto"/>
          <w:sz w:val="26"/>
          <w:szCs w:val="26"/>
        </w:rPr>
        <w:t xml:space="preserve">a. </w:t>
        <w:tab/>
        <w:t xml:space="preserve">Feedback from major Indian industries/other commercial concerns and Indian trade visitors to Egypt. </w:t>
      </w:r>
    </w:p>
    <w:p>
      <w:pPr>
        <w:pStyle w:val="Standard"/>
        <w:spacing w:before="0" w:after="0"/>
        <w:jc w:val="both"/>
        <w:rPr>
          <w:rFonts w:cs="" w:asciiTheme="majorBidi" w:cstheme="majorBidi" w:hAnsiTheme="majorBidi"/>
          <w:color w:val="auto"/>
          <w:sz w:val="26"/>
          <w:szCs w:val="26"/>
        </w:rPr>
      </w:pPr>
      <w:r>
        <w:rPr>
          <w:rFonts w:cs="" w:asciiTheme="majorBidi" w:cstheme="majorBidi" w:hAnsiTheme="majorBidi"/>
          <w:color w:val="auto"/>
          <w:sz w:val="26"/>
          <w:szCs w:val="26"/>
        </w:rPr>
      </w:r>
    </w:p>
    <w:tbl>
      <w:tblPr>
        <w:tblW w:w="9990" w:type="dxa"/>
        <w:jc w:val="left"/>
        <w:tblInd w:w="3" w:type="dxa"/>
        <w:tblLayout w:type="fixed"/>
        <w:tblCellMar>
          <w:top w:w="55" w:type="dxa"/>
          <w:left w:w="36" w:type="dxa"/>
          <w:bottom w:w="55" w:type="dxa"/>
          <w:right w:w="55" w:type="dxa"/>
        </w:tblCellMar>
        <w:tblLook w:val="0000" w:noHBand="0" w:noVBand="0" w:firstColumn="0" w:lastRow="0" w:lastColumn="0" w:firstRow="0"/>
      </w:tblPr>
      <w:tblGrid>
        <w:gridCol w:w="736"/>
        <w:gridCol w:w="1501"/>
        <w:gridCol w:w="1170"/>
        <w:gridCol w:w="1453"/>
        <w:gridCol w:w="5130"/>
      </w:tblGrid>
      <w:tr>
        <w:trPr/>
        <w:tc>
          <w:tcPr>
            <w:tcW w:w="736"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Sl. No.</w:t>
            </w:r>
          </w:p>
        </w:tc>
        <w:tc>
          <w:tcPr>
            <w:tcW w:w="1501"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Name of business house</w:t>
            </w:r>
          </w:p>
        </w:tc>
        <w:tc>
          <w:tcPr>
            <w:tcW w:w="1170"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Activity sector</w:t>
            </w:r>
          </w:p>
        </w:tc>
        <w:tc>
          <w:tcPr>
            <w:tcW w:w="1453"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Trade barrier issues if any (incl. HS codes)</w:t>
            </w:r>
          </w:p>
        </w:tc>
        <w:tc>
          <w:tcPr>
            <w:tcW w:w="5130" w:type="dxa"/>
            <w:tcBorders>
              <w:top w:val="single" w:sz="2" w:space="0" w:color="000001"/>
              <w:left w:val="single" w:sz="2" w:space="0" w:color="000001"/>
              <w:bottom w:val="single" w:sz="2" w:space="0" w:color="000001"/>
              <w:right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General Feedback (Max. 200 words)</w:t>
            </w:r>
          </w:p>
        </w:tc>
      </w:tr>
      <w:tr>
        <w:trPr/>
        <w:tc>
          <w:tcPr>
            <w:tcW w:w="736"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1</w:t>
            </w:r>
          </w:p>
        </w:tc>
        <w:tc>
          <w:tcPr>
            <w:tcW w:w="1501"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Telecom Equipment and Services Export Promotion Council (TEPC)</w:t>
            </w:r>
          </w:p>
        </w:tc>
        <w:tc>
          <w:tcPr>
            <w:tcW w:w="1170"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Telecommunication</w:t>
            </w:r>
          </w:p>
        </w:tc>
        <w:tc>
          <w:tcPr>
            <w:tcW w:w="1453"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tc>
        <w:tc>
          <w:tcPr>
            <w:tcW w:w="5130" w:type="dxa"/>
            <w:tcBorders>
              <w:top w:val="single" w:sz="2" w:space="0" w:color="000001"/>
              <w:left w:val="single" w:sz="2" w:space="0" w:color="000001"/>
              <w:bottom w:val="single" w:sz="2" w:space="0" w:color="000001"/>
              <w:right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Visit of Telecom Equipment and Services Export Promotion Council (TEPC) delegation to Egypt including a wide range of visits on several number of destinations for paving the way to have India Africa ICT Expo 2024 in Cairo, Arab Republic of Egypt.</w:t>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TEPC organizes a flagship event namely India-Africa ICT Expo, yearly, to develop long-term business relations between the telecom fraternity from India and Africa.</w:t>
            </w:r>
          </w:p>
        </w:tc>
      </w:tr>
    </w:tbl>
    <w:p>
      <w:pPr>
        <w:pStyle w:val="Standard"/>
        <w:spacing w:before="0" w:after="0"/>
        <w:rPr>
          <w:rFonts w:cs="" w:asciiTheme="majorBidi" w:cstheme="majorBidi" w:hAnsiTheme="majorBidi"/>
          <w:color w:val="auto"/>
          <w:sz w:val="26"/>
          <w:szCs w:val="26"/>
        </w:rPr>
      </w:pPr>
      <w:r>
        <w:rPr>
          <w:rFonts w:cs="" w:asciiTheme="majorBidi" w:cstheme="majorBidi" w:hAnsiTheme="majorBidi"/>
          <w:color w:val="auto"/>
          <w:sz w:val="26"/>
          <w:szCs w:val="26"/>
        </w:rPr>
      </w:r>
    </w:p>
    <w:p>
      <w:pPr>
        <w:pStyle w:val="Standard"/>
        <w:spacing w:before="0" w:after="0"/>
        <w:rPr>
          <w:rFonts w:cs="" w:asciiTheme="majorBidi" w:cstheme="majorBidi" w:hAnsiTheme="majorBidi"/>
          <w:color w:val="auto"/>
          <w:sz w:val="26"/>
          <w:szCs w:val="26"/>
          <w:lang w:bidi="ar-EG"/>
        </w:rPr>
      </w:pPr>
      <w:r>
        <w:rPr>
          <w:rFonts w:cs="" w:asciiTheme="majorBidi" w:cstheme="majorBidi" w:hAnsiTheme="majorBidi"/>
          <w:color w:val="auto"/>
          <w:sz w:val="26"/>
          <w:szCs w:val="26"/>
        </w:rPr>
        <w:t xml:space="preserve">b. </w:t>
        <w:tab/>
        <w:t>Feedback on major trade activities</w:t>
      </w:r>
      <w:r>
        <w:rPr>
          <w:rFonts w:cs="" w:asciiTheme="majorBidi" w:cstheme="majorBidi" w:hAnsiTheme="majorBidi"/>
          <w:b/>
          <w:bCs/>
          <w:color w:val="auto"/>
          <w:sz w:val="26"/>
          <w:szCs w:val="26"/>
        </w:rPr>
        <w:t xml:space="preserve"> </w:t>
      </w:r>
      <w:r>
        <w:rPr>
          <w:rFonts w:cs="" w:asciiTheme="majorBidi" w:cstheme="majorBidi" w:hAnsiTheme="majorBidi"/>
          <w:color w:val="auto"/>
          <w:sz w:val="26"/>
          <w:szCs w:val="26"/>
        </w:rPr>
        <w:t xml:space="preserve">including logistic events (trade fairs/BSM including Indian participation) </w:t>
      </w:r>
    </w:p>
    <w:p>
      <w:pPr>
        <w:pStyle w:val="Standard"/>
        <w:spacing w:before="0" w:after="0"/>
        <w:rPr>
          <w:rFonts w:cs="" w:asciiTheme="majorBidi" w:cstheme="majorBidi" w:hAnsiTheme="majorBidi"/>
          <w:color w:val="auto"/>
          <w:sz w:val="26"/>
          <w:szCs w:val="26"/>
        </w:rPr>
      </w:pPr>
      <w:r>
        <w:rPr>
          <w:rFonts w:cs="" w:asciiTheme="majorBidi" w:cstheme="majorBidi" w:hAnsiTheme="majorBidi"/>
          <w:color w:val="auto"/>
          <w:sz w:val="26"/>
          <w:szCs w:val="26"/>
        </w:rPr>
      </w:r>
    </w:p>
    <w:tbl>
      <w:tblPr>
        <w:tblW w:w="9990" w:type="dxa"/>
        <w:jc w:val="left"/>
        <w:tblInd w:w="3" w:type="dxa"/>
        <w:tblLayout w:type="fixed"/>
        <w:tblCellMar>
          <w:top w:w="55" w:type="dxa"/>
          <w:left w:w="36" w:type="dxa"/>
          <w:bottom w:w="55" w:type="dxa"/>
          <w:right w:w="55" w:type="dxa"/>
        </w:tblCellMar>
        <w:tblLook w:val="0000" w:noHBand="0" w:noVBand="0" w:firstColumn="0" w:lastRow="0" w:lastColumn="0" w:firstRow="0"/>
      </w:tblPr>
      <w:tblGrid>
        <w:gridCol w:w="685"/>
        <w:gridCol w:w="1462"/>
        <w:gridCol w:w="1538"/>
        <w:gridCol w:w="1215"/>
        <w:gridCol w:w="1459"/>
        <w:gridCol w:w="2186"/>
        <w:gridCol w:w="1444"/>
      </w:tblGrid>
      <w:tr>
        <w:trPr/>
        <w:tc>
          <w:tcPr>
            <w:tcW w:w="685"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Sl. No.</w:t>
            </w:r>
          </w:p>
        </w:tc>
        <w:tc>
          <w:tcPr>
            <w:tcW w:w="1462"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Activity (trade fair, BSM etc.)</w:t>
            </w:r>
          </w:p>
        </w:tc>
        <w:tc>
          <w:tcPr>
            <w:tcW w:w="1538"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Date and Venue</w:t>
            </w:r>
          </w:p>
        </w:tc>
        <w:tc>
          <w:tcPr>
            <w:tcW w:w="1215"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Number of participants from India</w:t>
            </w:r>
          </w:p>
        </w:tc>
        <w:tc>
          <w:tcPr>
            <w:tcW w:w="1459"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Name(s) of large/key participants from India</w:t>
            </w:r>
          </w:p>
        </w:tc>
        <w:tc>
          <w:tcPr>
            <w:tcW w:w="2186"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Feedback received (Max. 200 words)</w:t>
            </w:r>
          </w:p>
        </w:tc>
        <w:tc>
          <w:tcPr>
            <w:tcW w:w="1444" w:type="dxa"/>
            <w:tcBorders>
              <w:top w:val="single" w:sz="2" w:space="0" w:color="000001"/>
              <w:left w:val="single" w:sz="2" w:space="0" w:color="000001"/>
              <w:bottom w:val="single" w:sz="2" w:space="0" w:color="000001"/>
              <w:right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Source of funding (MAI, TA/TC)</w:t>
            </w:r>
          </w:p>
        </w:tc>
      </w:tr>
      <w:tr>
        <w:trPr/>
        <w:tc>
          <w:tcPr>
            <w:tcW w:w="685"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tc>
        <w:tc>
          <w:tcPr>
            <w:tcW w:w="1462"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tc>
        <w:tc>
          <w:tcPr>
            <w:tcW w:w="1538" w:type="dxa"/>
            <w:tcBorders>
              <w:top w:val="single" w:sz="2" w:space="0" w:color="000001"/>
              <w:left w:val="single" w:sz="2" w:space="0" w:color="000001"/>
              <w:bottom w:val="single" w:sz="2" w:space="0" w:color="000001"/>
            </w:tcBorders>
            <w:shd w:color="auto" w:fill="FFFFFF" w:val="clear"/>
          </w:tcPr>
          <w:p>
            <w:pPr>
              <w:pStyle w:val="TableContents"/>
              <w:widowControl w:val="false"/>
              <w:rPr>
                <w:rFonts w:cs="" w:asciiTheme="majorBidi" w:cstheme="majorBidi" w:hAnsiTheme="majorBidi"/>
                <w:b/>
                <w:bCs/>
                <w:color w:val="auto"/>
                <w:sz w:val="26"/>
                <w:szCs w:val="26"/>
              </w:rPr>
            </w:pPr>
            <w:r>
              <w:rPr>
                <w:rFonts w:cs="" w:asciiTheme="majorBidi" w:cstheme="majorBidi" w:hAnsiTheme="majorBidi"/>
                <w:b/>
                <w:bCs/>
                <w:color w:val="auto"/>
                <w:sz w:val="26"/>
                <w:szCs w:val="26"/>
              </w:rPr>
            </w:r>
          </w:p>
        </w:tc>
        <w:tc>
          <w:tcPr>
            <w:tcW w:w="1215"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tc>
        <w:tc>
          <w:tcPr>
            <w:tcW w:w="1459"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tc>
        <w:tc>
          <w:tcPr>
            <w:tcW w:w="2186"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tc>
        <w:tc>
          <w:tcPr>
            <w:tcW w:w="1444" w:type="dxa"/>
            <w:tcBorders>
              <w:top w:val="single" w:sz="2" w:space="0" w:color="000001"/>
              <w:left w:val="single" w:sz="2" w:space="0" w:color="000001"/>
              <w:bottom w:val="single" w:sz="2" w:space="0" w:color="000001"/>
              <w:right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r>
          </w:p>
        </w:tc>
      </w:tr>
    </w:tbl>
    <w:p>
      <w:pPr>
        <w:pStyle w:val="Standard"/>
        <w:spacing w:before="0" w:after="0"/>
        <w:rPr>
          <w:rFonts w:cs="" w:asciiTheme="majorBidi" w:cstheme="majorBidi" w:hAnsiTheme="majorBidi"/>
          <w:color w:val="auto"/>
          <w:sz w:val="26"/>
          <w:szCs w:val="26"/>
        </w:rPr>
      </w:pPr>
      <w:r>
        <w:rPr>
          <w:rFonts w:cs="" w:asciiTheme="majorBidi" w:cstheme="majorBidi" w:hAnsiTheme="majorBidi"/>
          <w:color w:val="auto"/>
          <w:sz w:val="26"/>
          <w:szCs w:val="26"/>
        </w:rPr>
      </w:r>
    </w:p>
    <w:p>
      <w:pPr>
        <w:pStyle w:val="Standard"/>
        <w:spacing w:before="0" w:after="0"/>
        <w:jc w:val="both"/>
        <w:rPr>
          <w:rFonts w:cs="" w:asciiTheme="majorBidi" w:cstheme="majorBidi" w:hAnsiTheme="majorBidi"/>
          <w:color w:val="auto"/>
          <w:sz w:val="26"/>
          <w:szCs w:val="26"/>
        </w:rPr>
      </w:pPr>
      <w:r>
        <w:rPr>
          <w:rFonts w:cs="" w:asciiTheme="majorBidi" w:cstheme="majorBidi" w:hAnsiTheme="majorBidi"/>
          <w:color w:val="auto"/>
          <w:sz w:val="26"/>
          <w:szCs w:val="26"/>
        </w:rPr>
        <w:t xml:space="preserve">c. </w:t>
        <w:tab/>
        <w:t xml:space="preserve">Feedback from local commercial visitors to trade fairs in India, including under BSM; </w:t>
        <w:tab/>
        <w:t>number of Business visas issued</w:t>
      </w:r>
      <w:r>
        <w:rPr>
          <w:rFonts w:cs="" w:asciiTheme="majorBidi" w:cstheme="majorBidi" w:hAnsiTheme="majorBidi"/>
          <w:b/>
          <w:bCs/>
          <w:color w:val="auto"/>
          <w:sz w:val="26"/>
          <w:szCs w:val="26"/>
        </w:rPr>
        <w:t xml:space="preserve">: </w:t>
      </w:r>
    </w:p>
    <w:p>
      <w:pPr>
        <w:pStyle w:val="Standard"/>
        <w:spacing w:before="0" w:after="0"/>
        <w:rPr>
          <w:rFonts w:cs="" w:asciiTheme="majorBidi" w:cstheme="majorBidi" w:hAnsiTheme="majorBidi"/>
          <w:color w:val="auto"/>
          <w:sz w:val="26"/>
          <w:szCs w:val="26"/>
        </w:rPr>
      </w:pPr>
      <w:r>
        <w:rPr>
          <w:rFonts w:cs="" w:asciiTheme="majorBidi" w:cstheme="majorBidi" w:hAnsiTheme="majorBidi"/>
          <w:color w:val="auto"/>
          <w:sz w:val="26"/>
          <w:szCs w:val="26"/>
        </w:rPr>
      </w:r>
    </w:p>
    <w:tbl>
      <w:tblPr>
        <w:tblW w:w="10080" w:type="dxa"/>
        <w:jc w:val="left"/>
        <w:tblInd w:w="3" w:type="dxa"/>
        <w:tblLayout w:type="fixed"/>
        <w:tblCellMar>
          <w:top w:w="55" w:type="dxa"/>
          <w:left w:w="36" w:type="dxa"/>
          <w:bottom w:w="55" w:type="dxa"/>
          <w:right w:w="55" w:type="dxa"/>
        </w:tblCellMar>
        <w:tblLook w:val="04a0" w:noHBand="0" w:noVBand="1" w:firstColumn="1" w:lastRow="0" w:lastColumn="0" w:firstRow="1"/>
      </w:tblPr>
      <w:tblGrid>
        <w:gridCol w:w="617"/>
        <w:gridCol w:w="908"/>
        <w:gridCol w:w="1439"/>
        <w:gridCol w:w="803"/>
        <w:gridCol w:w="2399"/>
        <w:gridCol w:w="1235"/>
        <w:gridCol w:w="2678"/>
      </w:tblGrid>
      <w:tr>
        <w:trPr>
          <w:trHeight w:val="664" w:hRule="atLeast"/>
        </w:trPr>
        <w:tc>
          <w:tcPr>
            <w:tcW w:w="617"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Sl. No.</w:t>
            </w:r>
          </w:p>
        </w:tc>
        <w:tc>
          <w:tcPr>
            <w:tcW w:w="908"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Activity (trade fair)</w:t>
            </w:r>
          </w:p>
        </w:tc>
        <w:tc>
          <w:tcPr>
            <w:tcW w:w="1439"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Date and venue</w:t>
            </w:r>
          </w:p>
        </w:tc>
        <w:tc>
          <w:tcPr>
            <w:tcW w:w="803"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Number of participants from Egypt</w:t>
            </w:r>
          </w:p>
        </w:tc>
        <w:tc>
          <w:tcPr>
            <w:tcW w:w="2399"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List of large/key participants from Egypt</w:t>
            </w:r>
          </w:p>
        </w:tc>
        <w:tc>
          <w:tcPr>
            <w:tcW w:w="1235"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Number of Business visas issued</w:t>
            </w:r>
          </w:p>
        </w:tc>
        <w:tc>
          <w:tcPr>
            <w:tcW w:w="2678" w:type="dxa"/>
            <w:tcBorders>
              <w:top w:val="single" w:sz="2" w:space="0" w:color="000001"/>
              <w:left w:val="single" w:sz="2" w:space="0" w:color="000001"/>
              <w:bottom w:val="single" w:sz="2" w:space="0" w:color="000001"/>
              <w:right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Feedback received (Max. 200 words)</w:t>
            </w:r>
          </w:p>
        </w:tc>
      </w:tr>
      <w:tr>
        <w:trPr/>
        <w:tc>
          <w:tcPr>
            <w:tcW w:w="617" w:type="dxa"/>
            <w:tcBorders>
              <w:top w:val="single" w:sz="2" w:space="0" w:color="000001"/>
              <w:left w:val="single" w:sz="2" w:space="0" w:color="000001"/>
              <w:bottom w:val="single" w:sz="2" w:space="0" w:color="000001"/>
            </w:tcBorders>
            <w:shd w:color="auto" w:fill="FFFFFF" w:val="clear"/>
          </w:tcPr>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3</w:t>
            </w:r>
          </w:p>
        </w:tc>
        <w:tc>
          <w:tcPr>
            <w:tcW w:w="908" w:type="dxa"/>
            <w:tcBorders>
              <w:top w:val="single" w:sz="2" w:space="0" w:color="000001"/>
              <w:left w:val="single" w:sz="2" w:space="0" w:color="000001"/>
              <w:bottom w:val="single" w:sz="2" w:space="0" w:color="000001"/>
            </w:tcBorders>
            <w:shd w:color="auto" w:fill="FFFFFF" w:val="clear"/>
          </w:tcPr>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Business Visas</w:t>
            </w:r>
          </w:p>
        </w:tc>
        <w:tc>
          <w:tcPr>
            <w:tcW w:w="1439" w:type="dxa"/>
            <w:tcBorders>
              <w:top w:val="single" w:sz="2" w:space="0" w:color="000001"/>
              <w:left w:val="single" w:sz="2" w:space="0" w:color="000001"/>
              <w:bottom w:val="single" w:sz="2" w:space="0" w:color="000001"/>
            </w:tcBorders>
            <w:shd w:color="auto" w:fill="FFFFFF" w:val="clear"/>
          </w:tcPr>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June 2024</w:t>
            </w:r>
          </w:p>
        </w:tc>
        <w:tc>
          <w:tcPr>
            <w:tcW w:w="803" w:type="dxa"/>
            <w:tcBorders>
              <w:top w:val="single" w:sz="2" w:space="0" w:color="000001"/>
              <w:left w:val="single" w:sz="2" w:space="0" w:color="000001"/>
              <w:bottom w:val="single" w:sz="2" w:space="0" w:color="000001"/>
            </w:tcBorders>
            <w:shd w:color="auto" w:fill="FFFFFF" w:val="clear"/>
          </w:tcPr>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r>
          </w:p>
        </w:tc>
        <w:tc>
          <w:tcPr>
            <w:tcW w:w="2399" w:type="dxa"/>
            <w:tcBorders>
              <w:top w:val="single" w:sz="2" w:space="0" w:color="000001"/>
              <w:left w:val="single" w:sz="2" w:space="0" w:color="000001"/>
              <w:bottom w:val="single" w:sz="2" w:space="0" w:color="000001"/>
            </w:tcBorders>
            <w:shd w:color="auto" w:fill="FFFFFF" w:val="clear"/>
          </w:tcPr>
          <w:p>
            <w:pPr>
              <w:pStyle w:val="TableContents"/>
              <w:widowControl w:val="false"/>
              <w:numPr>
                <w:ilvl w:val="3"/>
                <w:numId w:val="10"/>
              </w:numPr>
              <w:rPr>
                <w:rFonts w:cs="" w:asciiTheme="majorBidi" w:cstheme="majorBidi" w:hAnsiTheme="majorBidi"/>
                <w:color w:val="auto"/>
                <w:sz w:val="26"/>
                <w:szCs w:val="26"/>
              </w:rPr>
            </w:pPr>
            <w:r>
              <w:rPr>
                <w:rFonts w:cs="" w:asciiTheme="majorBidi" w:cstheme="majorBidi" w:hAnsiTheme="majorBidi"/>
                <w:color w:val="auto"/>
                <w:sz w:val="26"/>
                <w:szCs w:val="26"/>
              </w:rPr>
            </w:r>
          </w:p>
        </w:tc>
        <w:tc>
          <w:tcPr>
            <w:tcW w:w="1235" w:type="dxa"/>
            <w:tcBorders>
              <w:top w:val="single" w:sz="2" w:space="0" w:color="000001"/>
              <w:left w:val="single" w:sz="2" w:space="0" w:color="000001"/>
              <w:bottom w:val="single" w:sz="2" w:space="0" w:color="000001"/>
            </w:tcBorders>
            <w:shd w:color="auto" w:fill="FFFFFF" w:val="clear"/>
          </w:tcPr>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171</w:t>
            </w:r>
          </w:p>
        </w:tc>
        <w:tc>
          <w:tcPr>
            <w:tcW w:w="2678" w:type="dxa"/>
            <w:tcBorders>
              <w:top w:val="single" w:sz="2" w:space="0" w:color="000001"/>
              <w:left w:val="single" w:sz="2" w:space="0" w:color="000001"/>
              <w:bottom w:val="single" w:sz="2" w:space="0" w:color="000001"/>
              <w:right w:val="single" w:sz="2" w:space="0" w:color="000001"/>
            </w:tcBorders>
            <w:shd w:color="auto" w:fill="FFFFFF" w:val="clear"/>
          </w:tcPr>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 xml:space="preserve">Consular Wing issued </w:t>
            </w:r>
            <w:r>
              <w:rPr>
                <w:rFonts w:cs="" w:asciiTheme="majorBidi" w:cstheme="majorBidi" w:hAnsiTheme="majorBidi"/>
                <w:color w:val="auto"/>
                <w:sz w:val="26"/>
                <w:szCs w:val="26"/>
              </w:rPr>
              <w:t>171</w:t>
            </w:r>
            <w:r>
              <w:rPr>
                <w:rFonts w:cs="" w:asciiTheme="majorBidi" w:cstheme="majorBidi" w:hAnsiTheme="majorBidi"/>
                <w:color w:val="auto"/>
                <w:sz w:val="26"/>
                <w:szCs w:val="26"/>
              </w:rPr>
              <w:t xml:space="preserve"> Business Visa during June 2024</w:t>
            </w:r>
          </w:p>
        </w:tc>
      </w:tr>
    </w:tbl>
    <w:p>
      <w:pPr>
        <w:pStyle w:val="Standard"/>
        <w:spacing w:before="0" w:after="0"/>
        <w:rPr>
          <w:rFonts w:cs="" w:asciiTheme="majorBidi" w:cstheme="majorBidi" w:hAnsiTheme="majorBidi"/>
          <w:color w:val="auto"/>
          <w:sz w:val="26"/>
          <w:szCs w:val="26"/>
        </w:rPr>
      </w:pPr>
      <w:r>
        <w:rPr>
          <w:rFonts w:cs="" w:asciiTheme="majorBidi" w:cstheme="majorBidi" w:hAnsiTheme="majorBidi"/>
          <w:color w:val="auto"/>
          <w:sz w:val="26"/>
          <w:szCs w:val="26"/>
        </w:rPr>
      </w:r>
    </w:p>
    <w:p>
      <w:pPr>
        <w:pStyle w:val="Standard"/>
        <w:spacing w:before="0" w:after="0"/>
        <w:rPr>
          <w:rFonts w:cs="" w:asciiTheme="majorBidi" w:cstheme="majorBidi" w:hAnsiTheme="majorBidi"/>
          <w:color w:val="auto"/>
          <w:sz w:val="26"/>
          <w:szCs w:val="26"/>
        </w:rPr>
      </w:pPr>
      <w:r>
        <w:rPr>
          <w:rFonts w:cs="" w:asciiTheme="majorBidi" w:cstheme="majorBidi" w:hAnsiTheme="majorBidi"/>
          <w:color w:val="auto"/>
          <w:sz w:val="26"/>
          <w:szCs w:val="26"/>
        </w:rPr>
        <w:t xml:space="preserve">3. </w:t>
        <w:tab/>
      </w:r>
      <w:r>
        <w:rPr>
          <w:rFonts w:cs="" w:asciiTheme="majorBidi" w:cstheme="majorBidi" w:hAnsiTheme="majorBidi"/>
          <w:b/>
          <w:bCs/>
          <w:color w:val="auto"/>
          <w:sz w:val="26"/>
          <w:szCs w:val="26"/>
          <w:u w:val="single"/>
        </w:rPr>
        <w:t>Trade and Investment:</w:t>
      </w:r>
    </w:p>
    <w:p>
      <w:pPr>
        <w:pStyle w:val="Standard"/>
        <w:spacing w:before="0" w:after="0"/>
        <w:rPr>
          <w:rFonts w:cs="" w:asciiTheme="majorBidi" w:cstheme="majorBidi" w:hAnsiTheme="majorBidi"/>
          <w:color w:val="auto"/>
          <w:sz w:val="26"/>
          <w:szCs w:val="26"/>
        </w:rPr>
      </w:pPr>
      <w:r>
        <w:rPr>
          <w:rFonts w:cs="" w:asciiTheme="majorBidi" w:cstheme="majorBidi" w:hAnsiTheme="majorBidi"/>
          <w:color w:val="auto"/>
          <w:sz w:val="26"/>
          <w:szCs w:val="26"/>
        </w:rPr>
      </w:r>
    </w:p>
    <w:p>
      <w:pPr>
        <w:pStyle w:val="Standard"/>
        <w:spacing w:before="0" w:after="0"/>
        <w:rPr>
          <w:rFonts w:cs="" w:asciiTheme="majorBidi" w:cstheme="majorBidi" w:hAnsiTheme="majorBidi"/>
          <w:color w:val="auto"/>
          <w:sz w:val="26"/>
          <w:szCs w:val="26"/>
        </w:rPr>
      </w:pPr>
      <w:r>
        <w:rPr>
          <w:rFonts w:cs="" w:asciiTheme="majorBidi" w:cstheme="majorBidi" w:hAnsiTheme="majorBidi"/>
          <w:color w:val="auto"/>
          <w:sz w:val="26"/>
          <w:szCs w:val="26"/>
        </w:rPr>
        <w:t xml:space="preserve">a. </w:t>
        <w:tab/>
      </w:r>
      <w:r>
        <w:rPr>
          <w:rFonts w:cs="" w:asciiTheme="majorBidi" w:cstheme="majorBidi" w:hAnsiTheme="majorBidi"/>
          <w:color w:val="auto"/>
          <w:sz w:val="26"/>
          <w:szCs w:val="26"/>
          <w:u w:val="single"/>
        </w:rPr>
        <w:t xml:space="preserve">Significant trends in trade and investment </w:t>
      </w:r>
    </w:p>
    <w:p>
      <w:pPr>
        <w:pStyle w:val="Standard"/>
        <w:spacing w:before="0" w:after="0"/>
        <w:rPr>
          <w:rFonts w:cs="" w:asciiTheme="majorBidi" w:cstheme="majorBidi" w:hAnsiTheme="majorBidi"/>
          <w:color w:val="auto"/>
          <w:sz w:val="26"/>
          <w:szCs w:val="26"/>
        </w:rPr>
      </w:pPr>
      <w:r>
        <w:rPr>
          <w:rFonts w:cs="" w:asciiTheme="majorBidi" w:cstheme="majorBidi" w:hAnsiTheme="majorBidi"/>
          <w:color w:val="auto"/>
          <w:sz w:val="26"/>
          <w:szCs w:val="26"/>
        </w:rPr>
      </w:r>
    </w:p>
    <w:tbl>
      <w:tblPr>
        <w:tblW w:w="10080" w:type="dxa"/>
        <w:jc w:val="left"/>
        <w:tblInd w:w="0" w:type="dxa"/>
        <w:tblLayout w:type="fixed"/>
        <w:tblCellMar>
          <w:top w:w="55" w:type="dxa"/>
          <w:left w:w="36" w:type="dxa"/>
          <w:bottom w:w="55" w:type="dxa"/>
          <w:right w:w="55" w:type="dxa"/>
        </w:tblCellMar>
        <w:tblLook w:val="0000" w:noHBand="0" w:noVBand="0" w:firstColumn="0" w:lastRow="0" w:lastColumn="0" w:firstRow="0"/>
      </w:tblPr>
      <w:tblGrid>
        <w:gridCol w:w="686"/>
        <w:gridCol w:w="2044"/>
        <w:gridCol w:w="3804"/>
        <w:gridCol w:w="3545"/>
      </w:tblGrid>
      <w:tr>
        <w:trPr/>
        <w:tc>
          <w:tcPr>
            <w:tcW w:w="686"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Sl. No.</w:t>
            </w:r>
          </w:p>
        </w:tc>
        <w:tc>
          <w:tcPr>
            <w:tcW w:w="2044"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Category</w:t>
            </w:r>
          </w:p>
        </w:tc>
        <w:tc>
          <w:tcPr>
            <w:tcW w:w="3804"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Details of significant trends (Max.</w:t>
            </w:r>
          </w:p>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 xml:space="preserve"> </w:t>
            </w:r>
            <w:r>
              <w:rPr>
                <w:rFonts w:cs="" w:asciiTheme="majorBidi" w:cstheme="majorBidi" w:hAnsiTheme="majorBidi"/>
                <w:b/>
                <w:bCs/>
                <w:color w:val="auto"/>
                <w:sz w:val="26"/>
                <w:szCs w:val="26"/>
              </w:rPr>
              <w:t>200 words)</w:t>
            </w:r>
          </w:p>
        </w:tc>
        <w:tc>
          <w:tcPr>
            <w:tcW w:w="3545" w:type="dxa"/>
            <w:tcBorders>
              <w:top w:val="single" w:sz="2" w:space="0" w:color="000001"/>
              <w:left w:val="single" w:sz="2" w:space="0" w:color="000001"/>
              <w:bottom w:val="single" w:sz="2" w:space="0" w:color="000001"/>
              <w:right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Analysis (Max. 200 words)</w:t>
            </w:r>
          </w:p>
        </w:tc>
      </w:tr>
      <w:tr>
        <w:trPr/>
        <w:tc>
          <w:tcPr>
            <w:tcW w:w="686" w:type="dxa"/>
            <w:tcBorders>
              <w:top w:val="single" w:sz="2" w:space="0" w:color="000001"/>
              <w:left w:val="single" w:sz="2" w:space="0" w:color="000001"/>
              <w:bottom w:val="single" w:sz="2" w:space="0" w:color="000001"/>
            </w:tcBorders>
            <w:shd w:color="auto" w:fill="FFFFFF" w:val="clear"/>
          </w:tcPr>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1.</w:t>
            </w:r>
          </w:p>
        </w:tc>
        <w:tc>
          <w:tcPr>
            <w:tcW w:w="2044" w:type="dxa"/>
            <w:tcBorders>
              <w:top w:val="single" w:sz="2" w:space="0" w:color="000001"/>
              <w:left w:val="single" w:sz="2" w:space="0" w:color="000001"/>
              <w:bottom w:val="single" w:sz="2" w:space="0" w:color="000001"/>
            </w:tcBorders>
            <w:shd w:color="auto" w:fill="FFFFFF" w:val="clear"/>
          </w:tcPr>
          <w:p>
            <w:pPr>
              <w:pStyle w:val="TableContents"/>
              <w:widowControl w:val="false"/>
              <w:rPr>
                <w:rFonts w:cs="" w:asciiTheme="majorBidi" w:cstheme="majorBidi" w:hAnsiTheme="majorBidi"/>
                <w:b/>
                <w:bCs/>
                <w:color w:val="auto"/>
                <w:sz w:val="26"/>
                <w:szCs w:val="26"/>
              </w:rPr>
            </w:pPr>
            <w:r>
              <w:rPr>
                <w:rFonts w:cs="" w:asciiTheme="majorBidi" w:cstheme="majorBidi" w:hAnsiTheme="majorBidi"/>
                <w:b/>
                <w:bCs/>
                <w:color w:val="auto"/>
                <w:sz w:val="26"/>
                <w:szCs w:val="26"/>
              </w:rPr>
              <w:t>Trade in Goods</w:t>
            </w:r>
          </w:p>
          <w:p>
            <w:pPr>
              <w:pStyle w:val="Standard"/>
              <w:widowControl w:val="false"/>
              <w:spacing w:before="0" w:after="0"/>
              <w:rPr>
                <w:rFonts w:cs="" w:asciiTheme="majorBidi" w:cstheme="majorBidi" w:hAnsiTheme="majorBidi"/>
                <w:color w:val="auto"/>
                <w:sz w:val="26"/>
                <w:szCs w:val="26"/>
              </w:rPr>
            </w:pPr>
            <w:r>
              <w:rPr>
                <w:rFonts w:cs="" w:asciiTheme="majorBidi" w:cstheme="majorBidi" w:hAnsiTheme="majorBidi"/>
                <w:color w:val="auto"/>
                <w:sz w:val="26"/>
                <w:szCs w:val="26"/>
              </w:rPr>
              <w:t>Source: CAPMAS, Egypt</w:t>
            </w:r>
          </w:p>
        </w:tc>
        <w:tc>
          <w:tcPr>
            <w:tcW w:w="3804" w:type="dxa"/>
            <w:tcBorders>
              <w:top w:val="single" w:sz="2" w:space="0" w:color="000001"/>
              <w:left w:val="single" w:sz="2" w:space="0" w:color="000001"/>
              <w:bottom w:val="single" w:sz="2" w:space="0" w:color="000001"/>
            </w:tcBorders>
            <w:shd w:color="auto" w:fill="FFFFFF" w:val="clear"/>
          </w:tcPr>
          <w:p>
            <w:pPr>
              <w:pStyle w:val="Textbody1"/>
              <w:widowControl w:val="false"/>
              <w:spacing w:before="0" w:after="0"/>
              <w:rPr>
                <w:rFonts w:cs="" w:asciiTheme="majorBidi" w:cstheme="majorBidi" w:hAnsiTheme="majorBidi"/>
                <w:color w:val="auto"/>
                <w:sz w:val="26"/>
                <w:szCs w:val="26"/>
              </w:rPr>
            </w:pPr>
            <w:r>
              <w:rPr>
                <w:rFonts w:cs="" w:asciiTheme="majorBidi" w:cstheme="majorBidi" w:hAnsiTheme="majorBidi"/>
                <w:color w:val="auto"/>
                <w:sz w:val="26"/>
                <w:szCs w:val="26"/>
              </w:rPr>
              <w:t>Data is available till March 2024 on CAPMAS</w:t>
            </w:r>
          </w:p>
          <w:p>
            <w:pPr>
              <w:pStyle w:val="Textbody1"/>
              <w:widowControl w:val="false"/>
              <w:spacing w:before="0" w:after="0"/>
              <w:rPr>
                <w:rFonts w:cs="" w:asciiTheme="majorBidi" w:cstheme="majorBidi" w:hAnsiTheme="majorBidi"/>
                <w:color w:val="auto"/>
                <w:sz w:val="26"/>
                <w:szCs w:val="26"/>
              </w:rPr>
            </w:pPr>
            <w:r>
              <w:rPr>
                <w:rFonts w:cs="" w:asciiTheme="majorBidi" w:cstheme="majorBidi" w:hAnsiTheme="majorBidi"/>
                <w:color w:val="auto"/>
                <w:sz w:val="26"/>
                <w:szCs w:val="26"/>
              </w:rPr>
            </w:r>
          </w:p>
          <w:p>
            <w:pPr>
              <w:pStyle w:val="Standard"/>
              <w:widowControl w:val="false"/>
              <w:rPr>
                <w:rFonts w:cs="" w:asciiTheme="majorBidi" w:cstheme="majorBidi" w:hAnsiTheme="majorBidi"/>
                <w:color w:val="auto"/>
                <w:sz w:val="26"/>
                <w:szCs w:val="26"/>
              </w:rPr>
            </w:pPr>
            <w:r>
              <w:rPr>
                <w:rFonts w:cs="" w:asciiTheme="majorBidi" w:cstheme="majorBidi" w:hAnsiTheme="majorBidi"/>
                <w:color w:val="auto"/>
                <w:sz w:val="26"/>
                <w:szCs w:val="26"/>
              </w:rPr>
              <w:t>Value of India’s Export to Egypt 2023: 860 (US$ million)</w:t>
            </w:r>
          </w:p>
          <w:p>
            <w:pPr>
              <w:pStyle w:val="Standard"/>
              <w:widowControl w:val="false"/>
              <w:rPr>
                <w:rFonts w:cs="" w:asciiTheme="majorBidi" w:cstheme="majorBidi" w:hAnsiTheme="majorBidi"/>
                <w:color w:val="auto"/>
                <w:sz w:val="26"/>
                <w:szCs w:val="26"/>
              </w:rPr>
            </w:pPr>
            <w:r>
              <w:rPr>
                <w:rFonts w:cs="" w:asciiTheme="majorBidi" w:cstheme="majorBidi" w:hAnsiTheme="majorBidi"/>
                <w:color w:val="auto"/>
                <w:sz w:val="26"/>
                <w:szCs w:val="26"/>
              </w:rPr>
              <w:t>Value of India’s Export to Egypt 2024: 519 (US$ million)</w:t>
            </w:r>
          </w:p>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Value of India’s Imports from Egypt 2023: 248 (US$ million)</w:t>
            </w:r>
          </w:p>
          <w:p>
            <w:pPr>
              <w:pStyle w:val="TableContents"/>
              <w:widowControl w:val="false"/>
              <w:tabs>
                <w:tab w:val="clear" w:pos="709"/>
                <w:tab w:val="left" w:pos="1215" w:leader="none"/>
              </w:tabs>
              <w:rPr>
                <w:rFonts w:cs="" w:asciiTheme="majorBidi" w:cstheme="majorBidi" w:hAnsiTheme="majorBidi"/>
                <w:color w:val="FF0000"/>
                <w:sz w:val="26"/>
                <w:szCs w:val="26"/>
              </w:rPr>
            </w:pPr>
            <w:r>
              <w:rPr>
                <w:rFonts w:cs="" w:asciiTheme="majorBidi" w:cstheme="majorBidi" w:hAnsiTheme="majorBidi"/>
                <w:color w:val="FF0000"/>
                <w:sz w:val="26"/>
                <w:szCs w:val="26"/>
              </w:rPr>
              <w:tab/>
            </w:r>
          </w:p>
          <w:p>
            <w:pPr>
              <w:pStyle w:val="Normal"/>
              <w:widowControl w:val="false"/>
              <w:rPr>
                <w:rFonts w:cs="" w:asciiTheme="majorBidi" w:cstheme="majorBidi" w:hAnsiTheme="majorBidi"/>
                <w:sz w:val="26"/>
                <w:szCs w:val="26"/>
              </w:rPr>
            </w:pPr>
            <w:r>
              <w:rPr>
                <w:rFonts w:cs="" w:asciiTheme="majorBidi" w:cstheme="majorBidi" w:hAnsiTheme="majorBidi"/>
                <w:sz w:val="26"/>
                <w:szCs w:val="26"/>
              </w:rPr>
              <w:t>Value of India’s Imports from Egypt 2024: 112 (US$ million)</w:t>
            </w:r>
          </w:p>
          <w:p>
            <w:pPr>
              <w:pStyle w:val="TableContents"/>
              <w:widowControl w:val="false"/>
              <w:rPr>
                <w:rFonts w:cs="" w:asciiTheme="majorBidi" w:cstheme="majorBidi" w:hAnsiTheme="majorBidi"/>
                <w:color w:val="FF0000"/>
                <w:sz w:val="26"/>
                <w:szCs w:val="26"/>
              </w:rPr>
            </w:pPr>
            <w:r>
              <w:rPr>
                <w:rFonts w:cs="" w:asciiTheme="majorBidi" w:cstheme="majorBidi" w:hAnsiTheme="majorBidi"/>
                <w:color w:val="FF0000"/>
                <w:sz w:val="26"/>
                <w:szCs w:val="26"/>
              </w:rPr>
            </w:r>
          </w:p>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Total trade comparison:</w:t>
            </w:r>
          </w:p>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March 2023: 1,108 (US$ million)</w:t>
            </w:r>
          </w:p>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r>
          </w:p>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March 2024: 631 (US$ million)</w:t>
            </w:r>
          </w:p>
          <w:p>
            <w:pPr>
              <w:pStyle w:val="TableContents"/>
              <w:widowControl w:val="false"/>
              <w:rPr>
                <w:rFonts w:cs="" w:asciiTheme="majorBidi" w:cstheme="majorBidi" w:hAnsiTheme="majorBidi"/>
                <w:color w:val="FF0000"/>
                <w:sz w:val="26"/>
                <w:szCs w:val="26"/>
                <w:lang w:bidi="ar-EG"/>
              </w:rPr>
            </w:pPr>
            <w:r>
              <w:rPr>
                <w:rFonts w:cs="" w:asciiTheme="majorBidi" w:cstheme="majorBidi" w:hAnsiTheme="majorBidi"/>
                <w:color w:val="FF0000"/>
                <w:sz w:val="26"/>
                <w:szCs w:val="26"/>
              </w:rPr>
              <w:br/>
              <w:t xml:space="preserve"> </w:t>
            </w:r>
          </w:p>
        </w:tc>
        <w:tc>
          <w:tcPr>
            <w:tcW w:w="3545" w:type="dxa"/>
            <w:tcBorders>
              <w:top w:val="single" w:sz="2" w:space="0" w:color="000001"/>
              <w:left w:val="single" w:sz="2" w:space="0" w:color="000001"/>
              <w:bottom w:val="single" w:sz="2" w:space="0" w:color="000001"/>
              <w:right w:val="single" w:sz="2" w:space="0" w:color="000001"/>
            </w:tcBorders>
            <w:shd w:color="auto" w:fill="FFFFFF" w:val="clear"/>
          </w:tcPr>
          <w:p>
            <w:pPr>
              <w:pStyle w:val="TableContents"/>
              <w:widowControl w:val="false"/>
              <w:jc w:val="both"/>
              <w:rPr>
                <w:rFonts w:cs="" w:asciiTheme="majorBidi" w:cstheme="majorBidi" w:hAnsiTheme="majorBidi"/>
                <w:color w:val="auto"/>
                <w:sz w:val="26"/>
                <w:szCs w:val="26"/>
              </w:rPr>
            </w:pPr>
            <w:r>
              <w:rPr>
                <w:rFonts w:cs="" w:asciiTheme="majorBidi" w:cstheme="majorBidi" w:hAnsiTheme="majorBidi"/>
                <w:color w:val="auto"/>
                <w:sz w:val="26"/>
                <w:szCs w:val="26"/>
              </w:rPr>
              <w:t xml:space="preserve">Total trade between India and Egypt during March 2024 </w:t>
            </w:r>
            <w:r>
              <w:rPr>
                <w:rFonts w:cs="" w:asciiTheme="majorBidi" w:cstheme="majorBidi" w:hAnsiTheme="majorBidi"/>
                <w:b/>
                <w:bCs/>
                <w:color w:val="auto"/>
                <w:sz w:val="26"/>
                <w:szCs w:val="26"/>
              </w:rPr>
              <w:t>decreased</w:t>
            </w:r>
            <w:r>
              <w:rPr>
                <w:rFonts w:cs="" w:asciiTheme="majorBidi" w:cstheme="majorBidi" w:hAnsiTheme="majorBidi"/>
                <w:color w:val="auto"/>
                <w:sz w:val="26"/>
                <w:szCs w:val="26"/>
              </w:rPr>
              <w:t xml:space="preserve"> to US $ 477 million compared to same period of 2023.</w:t>
            </w:r>
          </w:p>
          <w:p>
            <w:pPr>
              <w:pStyle w:val="TableContents"/>
              <w:widowControl w:val="false"/>
              <w:jc w:val="both"/>
              <w:rPr>
                <w:rFonts w:cs="" w:asciiTheme="majorBidi" w:cstheme="majorBidi" w:hAnsiTheme="majorBidi"/>
                <w:color w:val="FF0000"/>
                <w:sz w:val="26"/>
                <w:szCs w:val="26"/>
              </w:rPr>
            </w:pPr>
            <w:r>
              <w:rPr>
                <w:rFonts w:cs="" w:asciiTheme="majorBidi" w:cstheme="majorBidi" w:hAnsiTheme="majorBidi"/>
                <w:color w:val="FF0000"/>
                <w:sz w:val="26"/>
                <w:szCs w:val="26"/>
              </w:rPr>
              <w:br/>
            </w:r>
          </w:p>
          <w:p>
            <w:pPr>
              <w:pStyle w:val="TableContents"/>
              <w:widowControl w:val="false"/>
              <w:jc w:val="both"/>
              <w:rPr>
                <w:rFonts w:cs="" w:asciiTheme="majorBidi" w:cstheme="majorBidi" w:hAnsiTheme="majorBidi"/>
                <w:color w:val="FF0000"/>
                <w:sz w:val="26"/>
                <w:szCs w:val="26"/>
              </w:rPr>
            </w:pPr>
            <w:r>
              <w:rPr>
                <w:rFonts w:cs="" w:asciiTheme="majorBidi" w:cstheme="majorBidi" w:hAnsiTheme="majorBidi"/>
                <w:color w:val="FF0000"/>
                <w:sz w:val="26"/>
                <w:szCs w:val="26"/>
              </w:rPr>
            </w:r>
          </w:p>
          <w:p>
            <w:pPr>
              <w:pStyle w:val="Normal"/>
              <w:widowControl w:val="false"/>
              <w:jc w:val="both"/>
              <w:rPr>
                <w:rFonts w:cs="" w:asciiTheme="majorBidi" w:cstheme="majorBidi" w:hAnsiTheme="majorBidi"/>
                <w:sz w:val="26"/>
                <w:szCs w:val="26"/>
                <w:lang w:bidi="ar-EG"/>
              </w:rPr>
            </w:pPr>
            <w:r>
              <w:rPr>
                <w:rFonts w:cs="" w:asciiTheme="majorBidi" w:cstheme="majorBidi" w:hAnsiTheme="majorBidi"/>
                <w:sz w:val="26"/>
                <w:szCs w:val="26"/>
              </w:rPr>
              <w:t xml:space="preserve">Indian exports to Egypt decreased to US $ 341 million and the Indian imports decreased with US $ 136 million compared to same period of 2023. </w:t>
            </w:r>
          </w:p>
          <w:p>
            <w:pPr>
              <w:pStyle w:val="TableContents"/>
              <w:widowControl w:val="false"/>
              <w:rPr>
                <w:rFonts w:cs="" w:asciiTheme="majorBidi" w:cstheme="majorBidi" w:hAnsiTheme="majorBidi"/>
                <w:color w:val="FF0000"/>
                <w:sz w:val="26"/>
                <w:szCs w:val="26"/>
              </w:rPr>
            </w:pPr>
            <w:r>
              <w:rPr>
                <w:rFonts w:cs="" w:asciiTheme="majorBidi" w:cstheme="majorBidi" w:hAnsiTheme="majorBidi"/>
                <w:color w:val="FF0000"/>
                <w:sz w:val="26"/>
                <w:szCs w:val="26"/>
              </w:rPr>
            </w:r>
          </w:p>
        </w:tc>
      </w:tr>
      <w:tr>
        <w:trPr/>
        <w:tc>
          <w:tcPr>
            <w:tcW w:w="686" w:type="dxa"/>
            <w:tcBorders>
              <w:top w:val="single" w:sz="2" w:space="0" w:color="000001"/>
              <w:left w:val="single" w:sz="2" w:space="0" w:color="000001"/>
              <w:bottom w:val="single" w:sz="2" w:space="0" w:color="000001"/>
            </w:tcBorders>
            <w:shd w:color="auto" w:fill="FFFFFF" w:val="clear"/>
          </w:tcPr>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2.</w:t>
            </w:r>
          </w:p>
        </w:tc>
        <w:tc>
          <w:tcPr>
            <w:tcW w:w="2044" w:type="dxa"/>
            <w:tcBorders>
              <w:top w:val="single" w:sz="2" w:space="0" w:color="000001"/>
              <w:left w:val="single" w:sz="2" w:space="0" w:color="000001"/>
              <w:bottom w:val="single" w:sz="2" w:space="0" w:color="000001"/>
            </w:tcBorders>
            <w:shd w:color="auto" w:fill="FFFFFF" w:val="clear"/>
          </w:tcPr>
          <w:p>
            <w:pPr>
              <w:pStyle w:val="TableContents"/>
              <w:widowControl w:val="false"/>
              <w:rPr>
                <w:rFonts w:cs="" w:asciiTheme="majorBidi" w:cstheme="majorBidi" w:hAnsiTheme="majorBidi"/>
                <w:b/>
                <w:bCs/>
                <w:color w:val="000000" w:themeColor="text1"/>
                <w:sz w:val="26"/>
                <w:szCs w:val="26"/>
              </w:rPr>
            </w:pPr>
            <w:r>
              <w:rPr>
                <w:rFonts w:cs="" w:asciiTheme="majorBidi" w:cstheme="majorBidi" w:hAnsiTheme="majorBidi"/>
                <w:b/>
                <w:bCs/>
                <w:color w:val="000000" w:themeColor="text1"/>
                <w:sz w:val="26"/>
                <w:szCs w:val="26"/>
              </w:rPr>
              <w:t>Trade in Services</w:t>
            </w:r>
          </w:p>
          <w:p>
            <w:pPr>
              <w:pStyle w:val="TableContents"/>
              <w:widowControl w:val="false"/>
              <w:rPr>
                <w:rFonts w:cs="" w:asciiTheme="majorBidi" w:cstheme="majorBidi" w:hAnsiTheme="majorBidi"/>
                <w:color w:val="000000" w:themeColor="text1"/>
                <w:sz w:val="26"/>
                <w:szCs w:val="26"/>
              </w:rPr>
            </w:pPr>
            <w:r>
              <w:rPr>
                <w:rFonts w:cs="" w:asciiTheme="majorBidi" w:cstheme="majorBidi" w:hAnsiTheme="majorBidi"/>
                <w:color w:val="000000" w:themeColor="text1"/>
                <w:sz w:val="26"/>
                <w:szCs w:val="26"/>
              </w:rPr>
              <w:t>Source: CAPMAS, Egypt</w:t>
            </w:r>
          </w:p>
        </w:tc>
        <w:tc>
          <w:tcPr>
            <w:tcW w:w="3804" w:type="dxa"/>
            <w:tcBorders>
              <w:top w:val="single" w:sz="2" w:space="0" w:color="000001"/>
              <w:left w:val="single" w:sz="2" w:space="0" w:color="000001"/>
              <w:bottom w:val="single" w:sz="2" w:space="0" w:color="000001"/>
            </w:tcBorders>
            <w:shd w:color="auto" w:fill="FFFFFF" w:val="clear"/>
          </w:tcPr>
          <w:p>
            <w:pPr>
              <w:pStyle w:val="TableContents"/>
              <w:widowControl w:val="false"/>
              <w:rPr>
                <w:rFonts w:cs="" w:asciiTheme="majorBidi" w:cstheme="majorBidi" w:hAnsiTheme="majorBidi"/>
                <w:color w:val="000000" w:themeColor="text1"/>
                <w:sz w:val="26"/>
                <w:szCs w:val="26"/>
              </w:rPr>
            </w:pPr>
            <w:r>
              <w:rPr>
                <w:rFonts w:cs="" w:asciiTheme="majorBidi" w:cstheme="majorBidi" w:hAnsiTheme="majorBidi"/>
                <w:color w:val="000000" w:themeColor="text1"/>
                <w:sz w:val="26"/>
                <w:szCs w:val="26"/>
              </w:rPr>
              <w:t>The Embassy during March</w:t>
            </w:r>
            <w:r>
              <w:rPr>
                <w:rFonts w:cs="" w:asciiTheme="majorBidi" w:cstheme="majorBidi" w:hAnsiTheme="majorBidi"/>
                <w:color w:val="auto"/>
                <w:sz w:val="26"/>
                <w:szCs w:val="26"/>
              </w:rPr>
              <w:t xml:space="preserve"> </w:t>
            </w:r>
            <w:r>
              <w:rPr>
                <w:rFonts w:cs="" w:asciiTheme="majorBidi" w:cstheme="majorBidi" w:hAnsiTheme="majorBidi"/>
                <w:color w:val="000000" w:themeColor="text1"/>
                <w:sz w:val="26"/>
                <w:szCs w:val="26"/>
              </w:rPr>
              <w:t>2024 received 0 inquiries on services.</w:t>
            </w:r>
          </w:p>
          <w:p>
            <w:pPr>
              <w:pStyle w:val="TableContents"/>
              <w:widowControl w:val="false"/>
              <w:rPr>
                <w:rFonts w:cs="" w:asciiTheme="majorBidi" w:cstheme="majorBidi" w:hAnsiTheme="majorBidi"/>
                <w:color w:val="000000" w:themeColor="text1"/>
                <w:sz w:val="26"/>
                <w:szCs w:val="26"/>
              </w:rPr>
            </w:pPr>
            <w:r>
              <w:rPr>
                <w:rFonts w:cs="" w:asciiTheme="majorBidi" w:cstheme="majorBidi" w:hAnsiTheme="majorBidi"/>
                <w:color w:val="000000" w:themeColor="text1"/>
                <w:sz w:val="26"/>
                <w:szCs w:val="26"/>
              </w:rPr>
            </w:r>
          </w:p>
          <w:p>
            <w:pPr>
              <w:pStyle w:val="TableContents"/>
              <w:widowControl w:val="false"/>
              <w:rPr>
                <w:rFonts w:cs="" w:asciiTheme="majorBidi" w:cstheme="majorBidi" w:hAnsiTheme="majorBidi"/>
                <w:color w:val="000000" w:themeColor="text1"/>
                <w:sz w:val="26"/>
                <w:szCs w:val="26"/>
              </w:rPr>
            </w:pPr>
            <w:r>
              <w:rPr>
                <w:rFonts w:cs="" w:asciiTheme="majorBidi" w:cstheme="majorBidi" w:hAnsiTheme="majorBidi"/>
                <w:color w:val="000000" w:themeColor="text1"/>
                <w:sz w:val="26"/>
                <w:szCs w:val="26"/>
              </w:rPr>
              <w:t>Trade figures of some of the service sectors are given below:</w:t>
            </w:r>
          </w:p>
          <w:p>
            <w:pPr>
              <w:pStyle w:val="TableContents"/>
              <w:widowControl w:val="false"/>
              <w:rPr>
                <w:rFonts w:cs="" w:asciiTheme="majorBidi" w:cstheme="majorBidi" w:hAnsiTheme="majorBidi"/>
                <w:color w:val="000000" w:themeColor="text1"/>
                <w:sz w:val="26"/>
                <w:szCs w:val="26"/>
              </w:rPr>
            </w:pPr>
            <w:r>
              <w:rPr>
                <w:rFonts w:cs="" w:asciiTheme="majorBidi" w:cstheme="majorBidi" w:hAnsiTheme="majorBidi"/>
                <w:b/>
                <w:bCs/>
                <w:color w:val="000000" w:themeColor="text1"/>
                <w:sz w:val="26"/>
                <w:szCs w:val="26"/>
              </w:rPr>
              <w:t>Pharma Items (HS Code:3004)</w:t>
            </w:r>
          </w:p>
          <w:p>
            <w:pPr>
              <w:pStyle w:val="TableContents"/>
              <w:widowControl w:val="false"/>
              <w:rPr>
                <w:rFonts w:cs="" w:asciiTheme="majorBidi" w:cstheme="majorBidi" w:hAnsiTheme="majorBidi"/>
                <w:color w:val="000000" w:themeColor="text1"/>
                <w:sz w:val="26"/>
                <w:szCs w:val="26"/>
              </w:rPr>
            </w:pPr>
            <w:r>
              <w:rPr>
                <w:rFonts w:cs="" w:asciiTheme="majorBidi" w:cstheme="majorBidi" w:hAnsiTheme="majorBidi"/>
                <w:color w:val="000000" w:themeColor="text1"/>
                <w:sz w:val="26"/>
                <w:szCs w:val="26"/>
              </w:rPr>
              <w:t>India export in March</w:t>
            </w:r>
            <w:r>
              <w:rPr>
                <w:rFonts w:cs="" w:asciiTheme="majorBidi" w:cstheme="majorBidi" w:hAnsiTheme="majorBidi"/>
                <w:color w:val="auto"/>
                <w:sz w:val="26"/>
                <w:szCs w:val="26"/>
              </w:rPr>
              <w:t xml:space="preserve"> </w:t>
            </w:r>
            <w:r>
              <w:rPr>
                <w:rFonts w:cs="" w:asciiTheme="majorBidi" w:cstheme="majorBidi" w:hAnsiTheme="majorBidi"/>
                <w:color w:val="000000" w:themeColor="text1"/>
                <w:sz w:val="26"/>
                <w:szCs w:val="26"/>
              </w:rPr>
              <w:t xml:space="preserve">2023: </w:t>
            </w:r>
          </w:p>
          <w:p>
            <w:pPr>
              <w:pStyle w:val="TableContents"/>
              <w:widowControl w:val="false"/>
              <w:rPr>
                <w:rFonts w:cs="" w:asciiTheme="majorBidi" w:cstheme="majorBidi" w:hAnsiTheme="majorBidi"/>
                <w:color w:val="000000" w:themeColor="text1"/>
                <w:sz w:val="26"/>
                <w:szCs w:val="26"/>
              </w:rPr>
            </w:pPr>
            <w:r>
              <w:rPr>
                <w:rFonts w:cs="" w:asciiTheme="majorBidi" w:cstheme="majorBidi" w:hAnsiTheme="majorBidi"/>
                <w:color w:val="000000" w:themeColor="text1"/>
                <w:sz w:val="26"/>
                <w:szCs w:val="26"/>
              </w:rPr>
              <w:t>7 (US$ Million)</w:t>
            </w:r>
          </w:p>
          <w:p>
            <w:pPr>
              <w:pStyle w:val="TableContents"/>
              <w:widowControl w:val="false"/>
              <w:rPr>
                <w:rFonts w:cs="" w:asciiTheme="majorBidi" w:cstheme="majorBidi" w:hAnsiTheme="majorBidi"/>
                <w:color w:val="000000" w:themeColor="text1"/>
                <w:sz w:val="26"/>
                <w:szCs w:val="26"/>
              </w:rPr>
            </w:pPr>
            <w:r>
              <w:rPr>
                <w:rFonts w:cs="" w:asciiTheme="majorBidi" w:cstheme="majorBidi" w:hAnsiTheme="majorBidi"/>
                <w:color w:val="000000" w:themeColor="text1"/>
                <w:sz w:val="26"/>
                <w:szCs w:val="26"/>
              </w:rPr>
              <w:t>India export in March</w:t>
            </w:r>
            <w:r>
              <w:rPr>
                <w:rFonts w:cs="" w:asciiTheme="majorBidi" w:cstheme="majorBidi" w:hAnsiTheme="majorBidi"/>
                <w:color w:val="auto"/>
                <w:sz w:val="26"/>
                <w:szCs w:val="26"/>
              </w:rPr>
              <w:t xml:space="preserve"> </w:t>
            </w:r>
            <w:r>
              <w:rPr>
                <w:rFonts w:cs="" w:asciiTheme="majorBidi" w:cstheme="majorBidi" w:hAnsiTheme="majorBidi"/>
                <w:color w:val="000000" w:themeColor="text1"/>
                <w:sz w:val="26"/>
                <w:szCs w:val="26"/>
              </w:rPr>
              <w:t>2024</w:t>
            </w:r>
          </w:p>
          <w:p>
            <w:pPr>
              <w:pStyle w:val="TableContents"/>
              <w:widowControl w:val="false"/>
              <w:tabs>
                <w:tab w:val="clear" w:pos="709"/>
                <w:tab w:val="left" w:pos="1103" w:leader="none"/>
              </w:tabs>
              <w:rPr>
                <w:rFonts w:cs="" w:asciiTheme="majorBidi" w:cstheme="majorBidi" w:hAnsiTheme="majorBidi"/>
                <w:color w:val="auto"/>
                <w:sz w:val="26"/>
                <w:szCs w:val="26"/>
              </w:rPr>
            </w:pPr>
            <w:r>
              <w:rPr>
                <w:rFonts w:cs="" w:asciiTheme="majorBidi" w:cstheme="majorBidi" w:hAnsiTheme="majorBidi"/>
                <w:color w:val="auto"/>
                <w:sz w:val="26"/>
                <w:szCs w:val="26"/>
              </w:rPr>
              <w:t xml:space="preserve">9 (US$ Million) </w:t>
            </w:r>
          </w:p>
          <w:p>
            <w:pPr>
              <w:pStyle w:val="TableContents"/>
              <w:widowControl w:val="false"/>
              <w:rPr>
                <w:rFonts w:cs="" w:asciiTheme="majorBidi" w:cstheme="majorBidi" w:hAnsiTheme="majorBidi"/>
                <w:color w:val="000000" w:themeColor="text1"/>
                <w:sz w:val="26"/>
                <w:szCs w:val="26"/>
              </w:rPr>
            </w:pPr>
            <w:r>
              <w:rPr>
                <w:rFonts w:cs="" w:asciiTheme="majorBidi" w:cstheme="majorBidi" w:hAnsiTheme="majorBidi"/>
                <w:b/>
                <w:bCs/>
                <w:color w:val="000000" w:themeColor="text1"/>
                <w:sz w:val="26"/>
                <w:szCs w:val="26"/>
                <w:shd w:fill="FFFFFF" w:val="clear"/>
              </w:rPr>
              <w:t>Electrical machinery and equipment and parts including</w:t>
            </w:r>
          </w:p>
          <w:p>
            <w:pPr>
              <w:pStyle w:val="TableContents"/>
              <w:widowControl w:val="false"/>
              <w:rPr>
                <w:rFonts w:cs="" w:asciiTheme="majorBidi" w:cstheme="majorBidi" w:hAnsiTheme="majorBidi"/>
                <w:color w:val="000000" w:themeColor="text1"/>
                <w:sz w:val="26"/>
                <w:szCs w:val="26"/>
              </w:rPr>
            </w:pPr>
            <w:r>
              <w:rPr>
                <w:rFonts w:cs="" w:asciiTheme="majorBidi" w:cstheme="majorBidi" w:hAnsiTheme="majorBidi"/>
                <w:b/>
                <w:bCs/>
                <w:color w:val="000000" w:themeColor="text1"/>
                <w:sz w:val="26"/>
                <w:szCs w:val="26"/>
                <w:shd w:fill="FFFFFF" w:val="clear"/>
              </w:rPr>
              <w:t>Information technology software. (HS Code: 85)</w:t>
            </w:r>
          </w:p>
          <w:p>
            <w:pPr>
              <w:pStyle w:val="TableContents"/>
              <w:widowControl w:val="false"/>
              <w:rPr>
                <w:rFonts w:cs="" w:asciiTheme="majorBidi" w:cstheme="majorBidi" w:hAnsiTheme="majorBidi"/>
                <w:color w:val="000000" w:themeColor="text1"/>
                <w:sz w:val="26"/>
                <w:szCs w:val="26"/>
              </w:rPr>
            </w:pPr>
            <w:r>
              <w:rPr>
                <w:rFonts w:cs="" w:asciiTheme="majorBidi" w:cstheme="majorBidi" w:hAnsiTheme="majorBidi"/>
                <w:color w:val="000000" w:themeColor="text1"/>
                <w:sz w:val="26"/>
                <w:szCs w:val="26"/>
              </w:rPr>
              <w:t>India export in March</w:t>
            </w:r>
            <w:r>
              <w:rPr>
                <w:rFonts w:cs="" w:asciiTheme="majorBidi" w:cstheme="majorBidi" w:hAnsiTheme="majorBidi"/>
                <w:color w:val="auto"/>
                <w:sz w:val="26"/>
                <w:szCs w:val="26"/>
              </w:rPr>
              <w:t xml:space="preserve"> </w:t>
            </w:r>
            <w:r>
              <w:rPr>
                <w:rFonts w:cs="" w:asciiTheme="majorBidi" w:cstheme="majorBidi" w:hAnsiTheme="majorBidi"/>
                <w:color w:val="000000" w:themeColor="text1"/>
                <w:sz w:val="26"/>
                <w:szCs w:val="26"/>
              </w:rPr>
              <w:t xml:space="preserve">2023: </w:t>
            </w:r>
          </w:p>
          <w:p>
            <w:pPr>
              <w:pStyle w:val="TableContents"/>
              <w:widowControl w:val="false"/>
              <w:rPr>
                <w:rFonts w:cs="" w:asciiTheme="majorBidi" w:cstheme="majorBidi" w:hAnsiTheme="majorBidi"/>
                <w:color w:val="000000" w:themeColor="text1"/>
                <w:sz w:val="26"/>
                <w:szCs w:val="26"/>
              </w:rPr>
            </w:pPr>
            <w:r>
              <w:rPr>
                <w:rFonts w:cs="" w:asciiTheme="majorBidi" w:cstheme="majorBidi" w:hAnsiTheme="majorBidi"/>
                <w:color w:val="000000" w:themeColor="text1"/>
                <w:sz w:val="26"/>
                <w:szCs w:val="26"/>
              </w:rPr>
              <w:t>32 (US$ million)</w:t>
            </w:r>
          </w:p>
          <w:p>
            <w:pPr>
              <w:pStyle w:val="TableContents"/>
              <w:widowControl w:val="false"/>
              <w:rPr>
                <w:rFonts w:cs="" w:asciiTheme="majorBidi" w:cstheme="majorBidi" w:hAnsiTheme="majorBidi"/>
                <w:color w:val="000000" w:themeColor="text1"/>
                <w:sz w:val="26"/>
                <w:szCs w:val="26"/>
              </w:rPr>
            </w:pPr>
            <w:r>
              <w:rPr>
                <w:rFonts w:cs="" w:asciiTheme="majorBidi" w:cstheme="majorBidi" w:hAnsiTheme="majorBidi"/>
                <w:color w:val="000000" w:themeColor="text1"/>
                <w:sz w:val="26"/>
                <w:szCs w:val="26"/>
              </w:rPr>
              <w:t>India export in March</w:t>
            </w:r>
            <w:r>
              <w:rPr>
                <w:rFonts w:cs="" w:asciiTheme="majorBidi" w:cstheme="majorBidi" w:hAnsiTheme="majorBidi"/>
                <w:color w:val="auto"/>
                <w:sz w:val="26"/>
                <w:szCs w:val="26"/>
              </w:rPr>
              <w:t xml:space="preserve"> </w:t>
            </w:r>
            <w:r>
              <w:rPr>
                <w:rFonts w:cs="" w:asciiTheme="majorBidi" w:cstheme="majorBidi" w:hAnsiTheme="majorBidi"/>
                <w:color w:val="000000" w:themeColor="text1"/>
                <w:sz w:val="26"/>
                <w:szCs w:val="26"/>
              </w:rPr>
              <w:t>2024</w:t>
            </w:r>
          </w:p>
          <w:p>
            <w:pPr>
              <w:pStyle w:val="TableContents"/>
              <w:widowControl w:val="false"/>
              <w:tabs>
                <w:tab w:val="clear" w:pos="709"/>
                <w:tab w:val="left" w:pos="1103" w:leader="none"/>
              </w:tabs>
              <w:rPr>
                <w:rFonts w:cs="" w:asciiTheme="majorBidi" w:cstheme="majorBidi" w:hAnsiTheme="majorBidi"/>
                <w:color w:val="000000" w:themeColor="text1"/>
                <w:sz w:val="26"/>
                <w:szCs w:val="26"/>
              </w:rPr>
            </w:pPr>
            <w:r>
              <w:rPr>
                <w:rFonts w:cs="" w:asciiTheme="majorBidi" w:cstheme="majorBidi" w:hAnsiTheme="majorBidi"/>
                <w:color w:val="000000" w:themeColor="text1"/>
                <w:sz w:val="26"/>
                <w:szCs w:val="26"/>
              </w:rPr>
              <w:t xml:space="preserve">28 (US$ Millions) </w:t>
            </w:r>
          </w:p>
          <w:p>
            <w:pPr>
              <w:pStyle w:val="TableContents"/>
              <w:widowControl w:val="false"/>
              <w:rPr>
                <w:rFonts w:cs="" w:asciiTheme="majorBidi" w:cstheme="majorBidi" w:hAnsiTheme="majorBidi"/>
                <w:color w:val="000000" w:themeColor="text1"/>
                <w:sz w:val="26"/>
                <w:szCs w:val="26"/>
              </w:rPr>
            </w:pPr>
            <w:r>
              <w:rPr>
                <w:rFonts w:cs="" w:asciiTheme="majorBidi" w:cstheme="majorBidi" w:hAnsiTheme="majorBidi"/>
                <w:b/>
                <w:bCs/>
                <w:color w:val="000000" w:themeColor="text1"/>
                <w:sz w:val="26"/>
                <w:szCs w:val="26"/>
                <w:shd w:fill="FFFFFF" w:val="clear"/>
              </w:rPr>
              <w:t>Books newspapers, pictures including educational services (HS Code: 49)</w:t>
            </w:r>
          </w:p>
          <w:p>
            <w:pPr>
              <w:pStyle w:val="TableContents"/>
              <w:widowControl w:val="false"/>
              <w:rPr>
                <w:rFonts w:cs="" w:asciiTheme="majorBidi" w:cstheme="majorBidi" w:hAnsiTheme="majorBidi"/>
                <w:color w:val="000000" w:themeColor="text1"/>
                <w:sz w:val="26"/>
                <w:szCs w:val="26"/>
              </w:rPr>
            </w:pPr>
            <w:r>
              <w:rPr>
                <w:rFonts w:cs="" w:asciiTheme="majorBidi" w:cstheme="majorBidi" w:hAnsiTheme="majorBidi"/>
                <w:color w:val="000000" w:themeColor="text1"/>
                <w:sz w:val="26"/>
                <w:szCs w:val="26"/>
              </w:rPr>
              <w:t>India export in March</w:t>
            </w:r>
            <w:r>
              <w:rPr>
                <w:rFonts w:cs="" w:asciiTheme="majorBidi" w:cstheme="majorBidi" w:hAnsiTheme="majorBidi"/>
                <w:color w:val="auto"/>
                <w:sz w:val="26"/>
                <w:szCs w:val="26"/>
              </w:rPr>
              <w:t xml:space="preserve"> 2023</w:t>
            </w:r>
            <w:r>
              <w:rPr>
                <w:rFonts w:cs="" w:asciiTheme="majorBidi" w:cstheme="majorBidi" w:hAnsiTheme="majorBidi"/>
                <w:color w:val="000000" w:themeColor="text1"/>
                <w:sz w:val="26"/>
                <w:szCs w:val="26"/>
              </w:rPr>
              <w:t xml:space="preserve">: </w:t>
            </w:r>
          </w:p>
          <w:p>
            <w:pPr>
              <w:pStyle w:val="TableContents"/>
              <w:widowControl w:val="false"/>
              <w:rPr>
                <w:rFonts w:cs="" w:asciiTheme="majorBidi" w:cstheme="majorBidi" w:hAnsiTheme="majorBidi"/>
                <w:color w:val="000000" w:themeColor="text1"/>
                <w:sz w:val="26"/>
                <w:szCs w:val="26"/>
              </w:rPr>
            </w:pPr>
            <w:r>
              <w:rPr>
                <w:rFonts w:cs="" w:asciiTheme="majorBidi" w:cstheme="majorBidi" w:hAnsiTheme="majorBidi"/>
                <w:color w:val="000000" w:themeColor="text1"/>
                <w:sz w:val="26"/>
                <w:szCs w:val="26"/>
              </w:rPr>
              <w:t>136,672 (US$ thousands)</w:t>
            </w:r>
          </w:p>
          <w:p>
            <w:pPr>
              <w:pStyle w:val="TableContents"/>
              <w:widowControl w:val="false"/>
              <w:rPr>
                <w:rFonts w:cs="" w:asciiTheme="majorBidi" w:cstheme="majorBidi" w:hAnsiTheme="majorBidi"/>
                <w:color w:val="000000" w:themeColor="text1"/>
                <w:sz w:val="26"/>
                <w:szCs w:val="26"/>
              </w:rPr>
            </w:pPr>
            <w:r>
              <w:rPr>
                <w:rFonts w:cs="" w:asciiTheme="majorBidi" w:cstheme="majorBidi" w:hAnsiTheme="majorBidi"/>
                <w:color w:val="000000" w:themeColor="text1"/>
                <w:sz w:val="26"/>
                <w:szCs w:val="26"/>
              </w:rPr>
              <w:t>India export in March</w:t>
            </w:r>
            <w:r>
              <w:rPr>
                <w:rFonts w:cs="" w:asciiTheme="majorBidi" w:cstheme="majorBidi" w:hAnsiTheme="majorBidi"/>
                <w:color w:val="auto"/>
                <w:sz w:val="26"/>
                <w:szCs w:val="26"/>
              </w:rPr>
              <w:t xml:space="preserve"> 2024</w:t>
            </w:r>
          </w:p>
          <w:p>
            <w:pPr>
              <w:pStyle w:val="TableContents"/>
              <w:widowControl w:val="false"/>
              <w:tabs>
                <w:tab w:val="clear" w:pos="709"/>
                <w:tab w:val="left" w:pos="1103" w:leader="none"/>
              </w:tabs>
              <w:rPr>
                <w:rFonts w:cs="" w:asciiTheme="majorBidi" w:cstheme="majorBidi" w:hAnsiTheme="majorBidi"/>
                <w:color w:val="000000" w:themeColor="text1"/>
                <w:sz w:val="26"/>
                <w:szCs w:val="26"/>
              </w:rPr>
            </w:pPr>
            <w:r>
              <w:rPr>
                <w:rFonts w:cs="" w:asciiTheme="majorBidi" w:cstheme="majorBidi" w:hAnsiTheme="majorBidi"/>
                <w:color w:val="000000" w:themeColor="text1"/>
                <w:sz w:val="26"/>
                <w:szCs w:val="26"/>
              </w:rPr>
              <w:t xml:space="preserve">295,482 (US$ thousands) </w:t>
            </w:r>
          </w:p>
          <w:p>
            <w:pPr>
              <w:pStyle w:val="TableContents"/>
              <w:widowControl w:val="false"/>
              <w:rPr>
                <w:rFonts w:cs="" w:asciiTheme="majorBidi" w:cstheme="majorBidi" w:hAnsiTheme="majorBidi"/>
                <w:color w:val="000000" w:themeColor="text1"/>
                <w:sz w:val="26"/>
                <w:szCs w:val="26"/>
              </w:rPr>
            </w:pPr>
            <w:r>
              <w:rPr>
                <w:rFonts w:cs="" w:asciiTheme="majorBidi" w:cstheme="majorBidi" w:hAnsiTheme="majorBidi"/>
                <w:color w:val="000000" w:themeColor="text1"/>
                <w:sz w:val="26"/>
                <w:szCs w:val="26"/>
              </w:rPr>
            </w:r>
          </w:p>
        </w:tc>
        <w:tc>
          <w:tcPr>
            <w:tcW w:w="3545" w:type="dxa"/>
            <w:tcBorders>
              <w:top w:val="single" w:sz="2" w:space="0" w:color="000001"/>
              <w:left w:val="single" w:sz="2" w:space="0" w:color="000001"/>
              <w:bottom w:val="single" w:sz="2" w:space="0" w:color="000001"/>
              <w:right w:val="single" w:sz="2" w:space="0" w:color="000001"/>
            </w:tcBorders>
            <w:shd w:color="auto" w:fill="FFFFFF" w:val="clear"/>
          </w:tcPr>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 xml:space="preserve">During January </w:t>
            </w:r>
            <w:r>
              <w:rPr>
                <w:rFonts w:cs="" w:asciiTheme="majorBidi" w:cstheme="majorBidi" w:hAnsiTheme="majorBidi"/>
                <w:color w:val="000000" w:themeColor="text1"/>
                <w:sz w:val="26"/>
                <w:szCs w:val="26"/>
              </w:rPr>
              <w:t>2024</w:t>
            </w:r>
            <w:r>
              <w:rPr>
                <w:rFonts w:cs="" w:asciiTheme="majorBidi" w:cstheme="majorBidi" w:hAnsiTheme="majorBidi"/>
                <w:color w:val="auto"/>
                <w:sz w:val="26"/>
                <w:szCs w:val="26"/>
              </w:rPr>
              <w:t xml:space="preserve">, the Indian export of pharma services and items to Egypt increased recording US $ 9 (US Million) compared to March </w:t>
            </w:r>
            <w:r>
              <w:rPr>
                <w:rFonts w:cs="" w:asciiTheme="majorBidi" w:cstheme="majorBidi" w:hAnsiTheme="majorBidi"/>
                <w:color w:val="000000" w:themeColor="text1"/>
                <w:sz w:val="26"/>
                <w:szCs w:val="26"/>
              </w:rPr>
              <w:t>2023</w:t>
            </w:r>
            <w:r>
              <w:rPr>
                <w:rFonts w:cs="" w:asciiTheme="majorBidi" w:cstheme="majorBidi" w:hAnsiTheme="majorBidi"/>
                <w:color w:val="auto"/>
                <w:sz w:val="26"/>
                <w:szCs w:val="26"/>
              </w:rPr>
              <w:t>.</w:t>
            </w:r>
          </w:p>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r>
          </w:p>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Indian export of IT and Electric Services and staff decreased recording US $ 28 million compared to March 2023.</w:t>
            </w:r>
          </w:p>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r>
          </w:p>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Indian export of Educational Services increased recording US $ 295,482</w:t>
            </w:r>
            <w:r>
              <w:rPr>
                <w:rFonts w:cs="" w:asciiTheme="majorBidi" w:cstheme="majorBidi" w:hAnsiTheme="majorBidi"/>
                <w:color w:val="000000"/>
                <w:sz w:val="26"/>
                <w:szCs w:val="26"/>
                <w:shd w:fill="FFFFFF" w:val="clear"/>
              </w:rPr>
              <w:t xml:space="preserve"> thousands </w:t>
            </w:r>
            <w:r>
              <w:rPr>
                <w:rFonts w:cs="" w:asciiTheme="majorBidi" w:cstheme="majorBidi" w:hAnsiTheme="majorBidi"/>
                <w:color w:val="auto"/>
                <w:sz w:val="26"/>
                <w:szCs w:val="26"/>
              </w:rPr>
              <w:t>compared to March 2023.</w:t>
            </w:r>
          </w:p>
          <w:p>
            <w:pPr>
              <w:pStyle w:val="TableContents"/>
              <w:widowControl w:val="false"/>
              <w:rPr>
                <w:rFonts w:cs="" w:asciiTheme="majorBidi" w:cstheme="majorBidi" w:hAnsiTheme="majorBidi"/>
                <w:color w:val="auto"/>
                <w:sz w:val="26"/>
                <w:szCs w:val="26"/>
                <w:lang w:bidi="ar-EG"/>
              </w:rPr>
            </w:pPr>
            <w:r>
              <w:rPr>
                <w:rFonts w:cs="" w:asciiTheme="majorBidi" w:cstheme="majorBidi" w:hAnsiTheme="majorBidi"/>
                <w:color w:val="auto"/>
                <w:sz w:val="26"/>
                <w:szCs w:val="26"/>
                <w:lang w:bidi="ar-EG"/>
              </w:rPr>
            </w:r>
          </w:p>
        </w:tc>
      </w:tr>
      <w:tr>
        <w:trPr/>
        <w:tc>
          <w:tcPr>
            <w:tcW w:w="686" w:type="dxa"/>
            <w:tcBorders>
              <w:top w:val="single" w:sz="2" w:space="0" w:color="000001"/>
              <w:left w:val="single" w:sz="2" w:space="0" w:color="000001"/>
              <w:bottom w:val="single" w:sz="2" w:space="0" w:color="000001"/>
            </w:tcBorders>
            <w:shd w:color="auto" w:fill="FFFFFF" w:val="clear"/>
          </w:tcPr>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3.</w:t>
            </w:r>
          </w:p>
        </w:tc>
        <w:tc>
          <w:tcPr>
            <w:tcW w:w="2044" w:type="dxa"/>
            <w:tcBorders>
              <w:top w:val="single" w:sz="2" w:space="0" w:color="000001"/>
              <w:left w:val="single" w:sz="2" w:space="0" w:color="000001"/>
              <w:bottom w:val="single" w:sz="2" w:space="0" w:color="000001"/>
            </w:tcBorders>
            <w:shd w:color="auto" w:fill="FFFFFF" w:val="clear"/>
          </w:tcPr>
          <w:p>
            <w:pPr>
              <w:pStyle w:val="TableContents"/>
              <w:widowControl w:val="false"/>
              <w:rPr>
                <w:rFonts w:cs="" w:asciiTheme="majorBidi" w:cstheme="majorBidi" w:hAnsiTheme="majorBidi"/>
                <w:b/>
                <w:bCs/>
                <w:color w:val="auto"/>
                <w:sz w:val="26"/>
                <w:szCs w:val="26"/>
              </w:rPr>
            </w:pPr>
            <w:r>
              <w:rPr>
                <w:rFonts w:cs="" w:asciiTheme="majorBidi" w:cstheme="majorBidi" w:hAnsiTheme="majorBidi"/>
                <w:b/>
                <w:bCs/>
                <w:color w:val="auto"/>
                <w:sz w:val="26"/>
                <w:szCs w:val="26"/>
              </w:rPr>
              <w:t>Investment</w:t>
            </w:r>
          </w:p>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r>
          </w:p>
        </w:tc>
        <w:tc>
          <w:tcPr>
            <w:tcW w:w="3804" w:type="dxa"/>
            <w:tcBorders>
              <w:top w:val="single" w:sz="2" w:space="0" w:color="000001"/>
              <w:left w:val="single" w:sz="2" w:space="0" w:color="000001"/>
              <w:bottom w:val="single" w:sz="2" w:space="0" w:color="000001"/>
            </w:tcBorders>
            <w:shd w:color="auto" w:fill="FFFFFF" w:val="clear"/>
          </w:tcPr>
          <w:p>
            <w:pPr>
              <w:pStyle w:val="Normal"/>
              <w:widowControl w:val="false"/>
              <w:rPr>
                <w:rFonts w:cs="" w:asciiTheme="majorBidi" w:cstheme="majorBidi" w:hAnsiTheme="majorBidi"/>
                <w:sz w:val="26"/>
                <w:szCs w:val="26"/>
              </w:rPr>
            </w:pPr>
            <w:r>
              <w:rPr>
                <w:rFonts w:cs="" w:asciiTheme="majorBidi" w:cstheme="majorBidi" w:hAnsiTheme="majorBidi"/>
                <w:sz w:val="26"/>
                <w:szCs w:val="26"/>
              </w:rPr>
              <w:t>Nil in June</w:t>
            </w:r>
          </w:p>
        </w:tc>
        <w:tc>
          <w:tcPr>
            <w:tcW w:w="3545" w:type="dxa"/>
            <w:tcBorders>
              <w:top w:val="single" w:sz="2" w:space="0" w:color="000001"/>
              <w:left w:val="single" w:sz="2" w:space="0" w:color="000001"/>
              <w:bottom w:val="single" w:sz="2" w:space="0" w:color="000001"/>
              <w:right w:val="single" w:sz="2" w:space="0" w:color="000001"/>
            </w:tcBorders>
            <w:shd w:color="auto" w:fill="FFFFFF" w:val="clear"/>
          </w:tcPr>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r>
          </w:p>
        </w:tc>
      </w:tr>
    </w:tbl>
    <w:p>
      <w:pPr>
        <w:pStyle w:val="ListParagraph"/>
        <w:spacing w:before="0" w:after="0"/>
        <w:rPr>
          <w:rFonts w:cs="" w:asciiTheme="majorBidi" w:cstheme="majorBidi" w:hAnsiTheme="majorBidi"/>
          <w:color w:val="auto"/>
          <w:sz w:val="26"/>
          <w:szCs w:val="26"/>
        </w:rPr>
      </w:pPr>
      <w:r>
        <w:rPr>
          <w:rFonts w:cs="" w:asciiTheme="majorBidi" w:cstheme="majorBidi" w:hAnsiTheme="majorBidi"/>
          <w:color w:val="auto"/>
          <w:sz w:val="26"/>
          <w:szCs w:val="26"/>
        </w:rPr>
      </w:r>
    </w:p>
    <w:p>
      <w:pPr>
        <w:pStyle w:val="ListParagraph"/>
        <w:numPr>
          <w:ilvl w:val="0"/>
          <w:numId w:val="11"/>
        </w:numPr>
        <w:spacing w:before="0" w:after="0"/>
        <w:rPr>
          <w:rFonts w:cs="" w:asciiTheme="majorBidi" w:cstheme="majorBidi" w:hAnsiTheme="majorBidi"/>
          <w:color w:val="auto"/>
          <w:sz w:val="26"/>
          <w:szCs w:val="26"/>
        </w:rPr>
      </w:pPr>
      <w:r>
        <w:rPr>
          <w:rFonts w:cs="" w:asciiTheme="majorBidi" w:cstheme="majorBidi" w:hAnsiTheme="majorBidi"/>
          <w:color w:val="auto"/>
          <w:sz w:val="26"/>
          <w:szCs w:val="26"/>
        </w:rPr>
        <w:t>Opportunities for investments/ assets on offer/ major company divestment:</w:t>
      </w:r>
    </w:p>
    <w:p>
      <w:pPr>
        <w:pStyle w:val="ListParagraph"/>
        <w:spacing w:before="0" w:after="0"/>
        <w:ind w:left="1080" w:hanging="0"/>
        <w:rPr>
          <w:rFonts w:cs="" w:asciiTheme="majorBidi" w:cstheme="majorBidi" w:hAnsiTheme="majorBidi"/>
          <w:color w:val="auto"/>
          <w:sz w:val="26"/>
          <w:szCs w:val="26"/>
        </w:rPr>
      </w:pPr>
      <w:r>
        <w:rPr>
          <w:rFonts w:cs="" w:asciiTheme="majorBidi" w:cstheme="majorBidi" w:hAnsiTheme="majorBidi"/>
          <w:color w:val="auto"/>
          <w:sz w:val="26"/>
          <w:szCs w:val="26"/>
        </w:rPr>
      </w:r>
    </w:p>
    <w:p>
      <w:pPr>
        <w:pStyle w:val="Standard"/>
        <w:spacing w:before="0" w:after="0"/>
        <w:jc w:val="both"/>
        <w:rPr>
          <w:rFonts w:cs="" w:asciiTheme="majorBidi" w:cstheme="majorBidi" w:hAnsiTheme="majorBidi"/>
          <w:color w:val="auto"/>
          <w:sz w:val="26"/>
          <w:szCs w:val="26"/>
        </w:rPr>
      </w:pPr>
      <w:r>
        <w:rPr>
          <w:rFonts w:cs="" w:asciiTheme="majorBidi" w:cstheme="majorBidi" w:hAnsiTheme="majorBidi"/>
          <w:color w:val="auto"/>
          <w:sz w:val="26"/>
          <w:szCs w:val="26"/>
        </w:rPr>
        <w:t>General Authority for Investment and Free Zones, GAFI, declared availability of 1149</w:t>
      </w:r>
      <w:r>
        <w:rPr>
          <w:rFonts w:cs="" w:asciiTheme="majorBidi" w:cstheme="majorBidi" w:hAnsiTheme="majorBidi"/>
          <w:b/>
          <w:bCs/>
          <w:color w:val="auto"/>
          <w:sz w:val="26"/>
          <w:szCs w:val="26"/>
        </w:rPr>
        <w:t xml:space="preserve"> o</w:t>
      </w:r>
      <w:r>
        <w:rPr>
          <w:rFonts w:cs="" w:asciiTheme="majorBidi" w:cstheme="majorBidi" w:hAnsiTheme="majorBidi"/>
          <w:color w:val="auto"/>
          <w:sz w:val="26"/>
          <w:szCs w:val="26"/>
        </w:rPr>
        <w:t xml:space="preserve">pportunities of investment in Egypt for foreign countries. Details of the opportunities are available on </w:t>
      </w:r>
      <w:hyperlink r:id="rId3">
        <w:r>
          <w:rPr>
            <w:rStyle w:val="Internetlink1"/>
            <w:rFonts w:cs="" w:asciiTheme="majorBidi" w:cstheme="majorBidi" w:hAnsiTheme="majorBidi"/>
            <w:color w:val="auto"/>
            <w:sz w:val="26"/>
            <w:szCs w:val="26"/>
          </w:rPr>
          <w:t>www.investinegypt.gov.eg</w:t>
        </w:r>
      </w:hyperlink>
      <w:r>
        <w:rPr>
          <w:rFonts w:cs="" w:asciiTheme="majorBidi" w:cstheme="majorBidi" w:hAnsiTheme="majorBidi"/>
          <w:color w:val="auto"/>
          <w:sz w:val="26"/>
          <w:szCs w:val="26"/>
        </w:rPr>
        <w:t>. Below are some of the booming (30) opportunities declared by GAFI.</w:t>
      </w:r>
    </w:p>
    <w:p>
      <w:pPr>
        <w:pStyle w:val="Standard"/>
        <w:spacing w:before="0" w:after="0"/>
        <w:rPr>
          <w:rFonts w:cs="" w:asciiTheme="majorBidi" w:cstheme="majorBidi" w:hAnsiTheme="majorBidi"/>
          <w:color w:val="auto"/>
          <w:sz w:val="26"/>
          <w:szCs w:val="26"/>
        </w:rPr>
      </w:pPr>
      <w:r>
        <w:rPr>
          <w:rFonts w:cs="" w:asciiTheme="majorBidi" w:cstheme="majorBidi" w:hAnsiTheme="majorBidi"/>
          <w:color w:val="auto"/>
          <w:sz w:val="26"/>
          <w:szCs w:val="26"/>
        </w:rPr>
      </w:r>
    </w:p>
    <w:tbl>
      <w:tblPr>
        <w:tblW w:w="10080" w:type="dxa"/>
        <w:jc w:val="left"/>
        <w:tblInd w:w="3" w:type="dxa"/>
        <w:tblLayout w:type="fixed"/>
        <w:tblCellMar>
          <w:top w:w="55" w:type="dxa"/>
          <w:left w:w="36" w:type="dxa"/>
          <w:bottom w:w="55" w:type="dxa"/>
          <w:right w:w="55" w:type="dxa"/>
        </w:tblCellMar>
        <w:tblLook w:val="0000" w:noHBand="0" w:noVBand="0" w:firstColumn="0" w:lastRow="0" w:lastColumn="0" w:firstRow="0"/>
      </w:tblPr>
      <w:tblGrid>
        <w:gridCol w:w="535"/>
        <w:gridCol w:w="1890"/>
        <w:gridCol w:w="4319"/>
        <w:gridCol w:w="3335"/>
      </w:tblGrid>
      <w:tr>
        <w:trPr/>
        <w:tc>
          <w:tcPr>
            <w:tcW w:w="535"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Sl. No.</w:t>
            </w:r>
          </w:p>
        </w:tc>
        <w:tc>
          <w:tcPr>
            <w:tcW w:w="1890"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Sector Name</w:t>
            </w:r>
          </w:p>
          <w:p>
            <w:pPr>
              <w:pStyle w:val="TableContents"/>
              <w:widowControl w:val="false"/>
              <w:rPr>
                <w:rFonts w:cs="" w:asciiTheme="majorBidi" w:cstheme="majorBidi" w:hAnsiTheme="majorBidi"/>
                <w:b/>
                <w:bCs/>
                <w:color w:val="auto"/>
                <w:sz w:val="26"/>
                <w:szCs w:val="26"/>
              </w:rPr>
            </w:pPr>
            <w:r>
              <w:rPr>
                <w:rFonts w:cs="" w:asciiTheme="majorBidi" w:cstheme="majorBidi" w:hAnsiTheme="majorBidi"/>
                <w:b/>
                <w:bCs/>
                <w:color w:val="auto"/>
                <w:sz w:val="26"/>
                <w:szCs w:val="26"/>
              </w:rPr>
            </w:r>
          </w:p>
        </w:tc>
        <w:tc>
          <w:tcPr>
            <w:tcW w:w="4319"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Particulars of the asset/ company</w:t>
            </w:r>
          </w:p>
        </w:tc>
        <w:tc>
          <w:tcPr>
            <w:tcW w:w="3335" w:type="dxa"/>
            <w:tcBorders>
              <w:top w:val="single" w:sz="2" w:space="0" w:color="000001"/>
              <w:left w:val="single" w:sz="2" w:space="0" w:color="000001"/>
              <w:bottom w:val="single" w:sz="2" w:space="0" w:color="000001"/>
              <w:right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Contact details</w:t>
            </w:r>
          </w:p>
        </w:tc>
      </w:tr>
      <w:tr>
        <w:trPr/>
        <w:tc>
          <w:tcPr>
            <w:tcW w:w="535"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b/>
                <w:bCs/>
                <w:color w:val="auto"/>
                <w:sz w:val="26"/>
                <w:szCs w:val="26"/>
              </w:rPr>
            </w:pPr>
            <w:r>
              <w:rPr>
                <w:rFonts w:cs="" w:asciiTheme="majorBidi" w:cstheme="majorBidi" w:hAnsiTheme="majorBidi"/>
                <w:b/>
                <w:bCs/>
                <w:color w:val="auto"/>
                <w:sz w:val="26"/>
                <w:szCs w:val="26"/>
              </w:rPr>
              <w:t>1</w:t>
            </w:r>
          </w:p>
        </w:tc>
        <w:tc>
          <w:tcPr>
            <w:tcW w:w="1890" w:type="dxa"/>
            <w:tcBorders>
              <w:top w:val="single" w:sz="2" w:space="0" w:color="000001"/>
              <w:left w:val="single" w:sz="2" w:space="0" w:color="000001"/>
              <w:bottom w:val="single" w:sz="2" w:space="0" w:color="000001"/>
            </w:tcBorders>
            <w:shd w:color="auto" w:fill="FFFFFF" w:val="clear"/>
          </w:tcPr>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land for investment</w:t>
            </w:r>
          </w:p>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r>
          </w:p>
        </w:tc>
        <w:tc>
          <w:tcPr>
            <w:tcW w:w="4319" w:type="dxa"/>
            <w:tcBorders>
              <w:top w:val="single" w:sz="2" w:space="0" w:color="000001"/>
              <w:left w:val="single" w:sz="2" w:space="0" w:color="000001"/>
              <w:bottom w:val="single" w:sz="2" w:space="0" w:color="000001"/>
            </w:tcBorders>
            <w:shd w:color="auto" w:fill="FFFFFF" w:val="clear"/>
          </w:tcPr>
          <w:p>
            <w:pPr>
              <w:pStyle w:val="TableContents"/>
              <w:widowControl w:val="false"/>
              <w:rPr>
                <w:rFonts w:cs="" w:asciiTheme="majorBidi" w:cstheme="majorBidi" w:hAnsiTheme="majorBidi"/>
                <w:b/>
                <w:bCs/>
                <w:color w:val="auto"/>
                <w:sz w:val="26"/>
                <w:szCs w:val="26"/>
              </w:rPr>
            </w:pPr>
            <w:r>
              <w:rPr>
                <w:rFonts w:cs="" w:asciiTheme="majorBidi" w:cstheme="majorBidi" w:hAnsiTheme="majorBidi"/>
                <w:b/>
                <w:bCs/>
                <w:color w:val="auto"/>
                <w:sz w:val="26"/>
                <w:szCs w:val="26"/>
              </w:rPr>
              <w:t>land for investment</w:t>
            </w:r>
          </w:p>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r>
          </w:p>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Governorate: Suez</w:t>
            </w:r>
          </w:p>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Location: Ain Sukhna free zone</w:t>
            </w:r>
          </w:p>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Land Allocation Method: Usufruct</w:t>
            </w:r>
          </w:p>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Sector: Construction &amp; Building Materials</w:t>
            </w:r>
          </w:p>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Utilities: Not Available</w:t>
            </w:r>
          </w:p>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Opportunity Type: Land Only</w:t>
            </w:r>
          </w:p>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Jurisdiction: General</w:t>
            </w:r>
            <w:r>
              <w:rPr>
                <w:rFonts w:ascii="Brando Arabic Regular" w:hAnsi="Brando Arabic Regular"/>
                <w:color w:val="000000"/>
                <w:sz w:val="27"/>
                <w:szCs w:val="27"/>
                <w:shd w:fill="FFFFFF" w:val="clear"/>
              </w:rPr>
              <w:t xml:space="preserve"> Authority for Suez Canal Economic Zone</w:t>
            </w:r>
          </w:p>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Land Area:</w:t>
            </w:r>
            <w:r>
              <w:rPr/>
              <w:t xml:space="preserve"> </w:t>
            </w:r>
            <w:r>
              <w:rPr>
                <w:rFonts w:cs="" w:asciiTheme="majorBidi" w:cstheme="majorBidi" w:hAnsiTheme="majorBidi"/>
                <w:color w:val="auto"/>
                <w:sz w:val="26"/>
                <w:szCs w:val="26"/>
              </w:rPr>
              <w:t>3,000 M2</w:t>
            </w:r>
          </w:p>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Zones: Ain Sukhna Free Zone</w:t>
            </w:r>
          </w:p>
        </w:tc>
        <w:tc>
          <w:tcPr>
            <w:tcW w:w="3335" w:type="dxa"/>
            <w:tcBorders>
              <w:top w:val="single" w:sz="2" w:space="0" w:color="000001"/>
              <w:left w:val="single" w:sz="2" w:space="0" w:color="000001"/>
              <w:bottom w:val="single" w:sz="2" w:space="0" w:color="000001"/>
              <w:right w:val="single" w:sz="2" w:space="0" w:color="000001"/>
            </w:tcBorders>
            <w:shd w:color="auto" w:fill="FFFFFF" w:val="clear"/>
          </w:tcPr>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 xml:space="preserve">Ms. Manar Waly           </w:t>
            </w:r>
          </w:p>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Investment Promotion Officer (Asia Dept.)</w:t>
            </w:r>
          </w:p>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Investment Promotion Sector</w:t>
            </w:r>
          </w:p>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3 Salah Salem Road, Fairgrounds, Nasr City-Cairo – P.O Box:11562-Egypt</w:t>
            </w:r>
          </w:p>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Tel: +2 02 240 55452    Ext:6861</w:t>
            </w:r>
          </w:p>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Fax: +2 02 240 55425</w:t>
            </w:r>
          </w:p>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 xml:space="preserve">E-mail: </w:t>
            </w:r>
            <w:hyperlink r:id="rId4">
              <w:r>
                <w:rPr>
                  <w:rStyle w:val="InternetLink"/>
                  <w:rFonts w:cs="" w:asciiTheme="majorBidi" w:cstheme="majorBidi" w:hAnsiTheme="majorBidi"/>
                  <w:color w:val="auto"/>
                  <w:sz w:val="26"/>
                  <w:szCs w:val="26"/>
                </w:rPr>
                <w:t>m.waly@gafinet.org.eg</w:t>
              </w:r>
            </w:hyperlink>
          </w:p>
        </w:tc>
      </w:tr>
      <w:tr>
        <w:trPr/>
        <w:tc>
          <w:tcPr>
            <w:tcW w:w="535" w:type="dxa"/>
            <w:tcBorders>
              <w:top w:val="single" w:sz="2" w:space="0" w:color="000001"/>
              <w:left w:val="single" w:sz="2" w:space="0" w:color="000001"/>
              <w:bottom w:val="single" w:sz="2" w:space="0" w:color="000001"/>
            </w:tcBorders>
            <w:shd w:color="auto" w:fill="FFFFFF" w:val="clear"/>
          </w:tcPr>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2</w:t>
            </w:r>
          </w:p>
        </w:tc>
        <w:tc>
          <w:tcPr>
            <w:tcW w:w="1890" w:type="dxa"/>
            <w:tcBorders>
              <w:top w:val="single" w:sz="2" w:space="0" w:color="000001"/>
              <w:left w:val="single" w:sz="2" w:space="0" w:color="000001"/>
              <w:bottom w:val="single" w:sz="2" w:space="0" w:color="000001"/>
            </w:tcBorders>
            <w:shd w:color="auto" w:fill="FFFFFF" w:val="clear"/>
          </w:tcPr>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Services</w:t>
            </w:r>
          </w:p>
        </w:tc>
        <w:tc>
          <w:tcPr>
            <w:tcW w:w="4319" w:type="dxa"/>
            <w:tcBorders>
              <w:top w:val="single" w:sz="2" w:space="0" w:color="000001"/>
              <w:left w:val="single" w:sz="2" w:space="0" w:color="000001"/>
              <w:bottom w:val="single" w:sz="2" w:space="0" w:color="000001"/>
            </w:tcBorders>
            <w:shd w:color="auto" w:fill="FFFFFF" w:val="clear"/>
          </w:tcPr>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Governorate: Suez</w:t>
            </w:r>
          </w:p>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Location: Ras Abu Al Darg - Ein Sokhna/Zafarana Road - Al Galala City</w:t>
            </w:r>
          </w:p>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Sector: Services</w:t>
            </w:r>
          </w:p>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Utilities: Available</w:t>
            </w:r>
          </w:p>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Opportunity Type: opportunity with land</w:t>
            </w:r>
          </w:p>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Jurisdiction: Al Galala City</w:t>
            </w:r>
          </w:p>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Land Area:</w:t>
            </w:r>
            <w:r>
              <w:rPr/>
              <w:t xml:space="preserve"> </w:t>
            </w:r>
            <w:r>
              <w:rPr>
                <w:rFonts w:cs="" w:asciiTheme="majorBidi" w:cstheme="majorBidi" w:hAnsiTheme="majorBidi"/>
                <w:color w:val="auto"/>
                <w:sz w:val="26"/>
                <w:szCs w:val="26"/>
              </w:rPr>
              <w:t>3,000 M2</w:t>
            </w:r>
          </w:p>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Project: Al Galala City and Tourist Compound</w:t>
            </w:r>
          </w:p>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Progress: 90%</w:t>
            </w:r>
          </w:p>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Competitive Advantages:</w:t>
            </w:r>
          </w:p>
          <w:p>
            <w:pPr>
              <w:pStyle w:val="TableContents"/>
              <w:widowControl w:val="false"/>
              <w:jc w:val="both"/>
              <w:rPr>
                <w:rFonts w:cs="" w:asciiTheme="majorBidi" w:cstheme="majorBidi" w:hAnsiTheme="majorBidi"/>
                <w:b/>
                <w:bCs/>
                <w:color w:val="auto"/>
                <w:sz w:val="26"/>
                <w:szCs w:val="26"/>
              </w:rPr>
            </w:pPr>
            <w:r>
              <w:rPr>
                <w:rFonts w:cs="" w:asciiTheme="majorBidi" w:cstheme="majorBidi" w:hAnsiTheme="majorBidi"/>
                <w:color w:val="auto"/>
                <w:sz w:val="26"/>
                <w:szCs w:val="26"/>
              </w:rPr>
              <w:t>​</w:t>
            </w:r>
            <w:r>
              <w:rPr>
                <w:rFonts w:cs="" w:asciiTheme="majorBidi" w:cstheme="majorBidi" w:hAnsiTheme="majorBidi"/>
                <w:color w:val="auto"/>
                <w:sz w:val="26"/>
                <w:szCs w:val="26"/>
              </w:rPr>
              <w:t>Al Galala City &amp; Resorts Has More Than 16 Major Investment Opportunities That Ranges from Managing Luxurious Five Stars Hotels, Cable Cars Station, Entertainment Center, International Yacht Marina, The First Real Outlet Mall In Egypt &amp; Africa, First Skydiving Drop Zone, Al Galala University The First Private Medicine University At Egypt &amp; The Most Famous Area For Mining Including Industrial Zone And More.</w:t>
            </w:r>
          </w:p>
        </w:tc>
        <w:tc>
          <w:tcPr>
            <w:tcW w:w="3335" w:type="dxa"/>
            <w:tcBorders>
              <w:top w:val="single" w:sz="2" w:space="0" w:color="000001"/>
              <w:left w:val="single" w:sz="2" w:space="0" w:color="000001"/>
              <w:bottom w:val="single" w:sz="2" w:space="0" w:color="000001"/>
              <w:right w:val="single" w:sz="2" w:space="0" w:color="000001"/>
            </w:tcBorders>
            <w:shd w:color="auto" w:fill="FFFFFF" w:val="clear"/>
          </w:tcPr>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 xml:space="preserve">Ms. Manar Waly           </w:t>
            </w:r>
          </w:p>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Investment Promotion Officer (Asia Dept.)</w:t>
            </w:r>
          </w:p>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Investment Promotion Sector</w:t>
            </w:r>
          </w:p>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3 Salah Salem Road, Fairgrounds,Nasr City-Cairo – P.O Box:11562-Egypt</w:t>
            </w:r>
          </w:p>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Tel: +2 02 240 55452    Ext:6861</w:t>
            </w:r>
          </w:p>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Fax: +2 02 240 55425</w:t>
            </w:r>
          </w:p>
          <w:p>
            <w:pPr>
              <w:pStyle w:val="TableContents"/>
              <w:widowControl w:val="false"/>
              <w:jc w:val="center"/>
              <w:rPr>
                <w:rFonts w:cs="" w:asciiTheme="majorBidi" w:cstheme="majorBidi" w:hAnsiTheme="majorBidi"/>
                <w:color w:val="auto"/>
                <w:sz w:val="26"/>
                <w:szCs w:val="26"/>
              </w:rPr>
            </w:pPr>
            <w:r>
              <w:rPr>
                <w:rFonts w:cs="" w:asciiTheme="majorBidi" w:cstheme="majorBidi" w:hAnsiTheme="majorBidi"/>
                <w:color w:val="auto"/>
                <w:sz w:val="26"/>
                <w:szCs w:val="26"/>
              </w:rPr>
              <w:t xml:space="preserve">E-mail: </w:t>
            </w:r>
            <w:hyperlink r:id="rId5">
              <w:r>
                <w:rPr>
                  <w:rStyle w:val="InternetLink"/>
                  <w:rFonts w:cs="" w:asciiTheme="majorBidi" w:cstheme="majorBidi" w:hAnsiTheme="majorBidi"/>
                  <w:color w:val="auto"/>
                  <w:sz w:val="26"/>
                  <w:szCs w:val="26"/>
                </w:rPr>
                <w:t>m.waly@gafinet.org.eg</w:t>
              </w:r>
            </w:hyperlink>
          </w:p>
        </w:tc>
      </w:tr>
      <w:tr>
        <w:trPr/>
        <w:tc>
          <w:tcPr>
            <w:tcW w:w="535" w:type="dxa"/>
            <w:tcBorders>
              <w:top w:val="single" w:sz="2" w:space="0" w:color="000001"/>
              <w:left w:val="single" w:sz="2" w:space="0" w:color="000001"/>
              <w:bottom w:val="single" w:sz="2" w:space="0" w:color="000001"/>
            </w:tcBorders>
            <w:shd w:color="auto" w:fill="FFFFFF" w:val="clear"/>
          </w:tcPr>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3</w:t>
            </w:r>
          </w:p>
        </w:tc>
        <w:tc>
          <w:tcPr>
            <w:tcW w:w="1890" w:type="dxa"/>
            <w:tcBorders>
              <w:top w:val="single" w:sz="2" w:space="0" w:color="000001"/>
              <w:left w:val="single" w:sz="2" w:space="0" w:color="000001"/>
              <w:bottom w:val="single" w:sz="2" w:space="0" w:color="000001"/>
            </w:tcBorders>
            <w:shd w:color="auto" w:fill="FFFFFF" w:val="clear"/>
          </w:tcPr>
          <w:p>
            <w:pPr>
              <w:pStyle w:val="Normal"/>
              <w:widowControl w:val="false"/>
              <w:rPr>
                <w:rFonts w:eastAsia="Times New Roman" w:cs="" w:asciiTheme="majorBidi" w:cstheme="majorBidi" w:hAnsiTheme="majorBidi"/>
                <w:sz w:val="26"/>
                <w:szCs w:val="26"/>
              </w:rPr>
            </w:pPr>
            <w:r>
              <w:rPr>
                <w:rFonts w:eastAsia="Times New Roman" w:cs="" w:asciiTheme="majorBidi" w:cstheme="majorBidi" w:hAnsiTheme="majorBidi"/>
                <w:sz w:val="26"/>
                <w:szCs w:val="26"/>
              </w:rPr>
              <w:t>Operating And Managing Distinguished Technical Schools</w:t>
            </w:r>
          </w:p>
          <w:p>
            <w:pPr>
              <w:pStyle w:val="Normal"/>
              <w:widowControl w:val="false"/>
              <w:rPr>
                <w:rFonts w:eastAsia="Times New Roman" w:cs="" w:asciiTheme="majorBidi" w:cstheme="majorBidi" w:hAnsiTheme="majorBidi"/>
                <w:sz w:val="26"/>
                <w:szCs w:val="26"/>
              </w:rPr>
            </w:pPr>
            <w:r>
              <w:rPr>
                <w:rFonts w:eastAsia="Times New Roman" w:cs="" w:asciiTheme="majorBidi" w:cstheme="majorBidi" w:hAnsiTheme="majorBidi"/>
                <w:sz w:val="26"/>
                <w:szCs w:val="26"/>
              </w:rPr>
            </w:r>
          </w:p>
        </w:tc>
        <w:tc>
          <w:tcPr>
            <w:tcW w:w="4319" w:type="dxa"/>
            <w:tcBorders>
              <w:top w:val="single" w:sz="2" w:space="0" w:color="000001"/>
              <w:left w:val="single" w:sz="2" w:space="0" w:color="000001"/>
              <w:bottom w:val="single" w:sz="2" w:space="0" w:color="000001"/>
            </w:tcBorders>
            <w:shd w:color="auto" w:fill="FFFFFF" w:val="clear"/>
          </w:tcPr>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A pioneering opportunity to manage, develop, rehabilitate and operate Training Centers into a sophisticated technical school for any of the following initial specializations (electrical installations - metal forming and welding - metal working) or according to the investor's vision.</w:t>
            </w:r>
          </w:p>
          <w:p>
            <w:pPr>
              <w:pStyle w:val="TableContents"/>
              <w:widowControl w:val="false"/>
              <w:numPr>
                <w:ilvl w:val="0"/>
                <w:numId w:val="3"/>
              </w:numPr>
              <w:ind w:left="414" w:hanging="360"/>
              <w:rPr>
                <w:rFonts w:cs="" w:asciiTheme="majorBidi" w:cstheme="majorBidi" w:hAnsiTheme="majorBidi"/>
                <w:color w:val="auto"/>
                <w:sz w:val="26"/>
                <w:szCs w:val="26"/>
              </w:rPr>
            </w:pPr>
            <w:r>
              <w:rPr>
                <w:rFonts w:cs="" w:asciiTheme="majorBidi" w:cstheme="majorBidi" w:hAnsiTheme="majorBidi"/>
                <w:color w:val="auto"/>
                <w:sz w:val="26"/>
                <w:szCs w:val="26"/>
              </w:rPr>
              <w:t>Available in 28 different locations</w:t>
            </w:r>
          </w:p>
          <w:p>
            <w:pPr>
              <w:pStyle w:val="TableContents"/>
              <w:widowControl w:val="false"/>
              <w:numPr>
                <w:ilvl w:val="0"/>
                <w:numId w:val="3"/>
              </w:numPr>
              <w:ind w:left="414" w:hanging="360"/>
              <w:rPr>
                <w:rFonts w:cs="" w:asciiTheme="majorBidi" w:cstheme="majorBidi" w:hAnsiTheme="majorBidi"/>
                <w:sz w:val="26"/>
                <w:szCs w:val="26"/>
              </w:rPr>
            </w:pPr>
            <w:r>
              <w:rPr>
                <w:rFonts w:cs="" w:asciiTheme="majorBidi" w:cstheme="majorBidi" w:hAnsiTheme="majorBidi"/>
                <w:color w:val="auto"/>
                <w:sz w:val="26"/>
                <w:szCs w:val="26"/>
              </w:rPr>
              <w:t>Jurisdiction:</w:t>
            </w:r>
            <w:r>
              <w:rPr>
                <w:rFonts w:eastAsia="Times New Roman" w:cs="Times New Roman" w:ascii="Brando Arabic Regular" w:hAnsi="Brando Arabic Regular"/>
                <w:color w:val="000000"/>
                <w:kern w:val="0"/>
                <w:sz w:val="20"/>
                <w:szCs w:val="20"/>
              </w:rPr>
              <w:t xml:space="preserve"> </w:t>
            </w:r>
            <w:r>
              <w:rPr>
                <w:rFonts w:cs="" w:asciiTheme="majorBidi" w:cstheme="majorBidi" w:hAnsiTheme="majorBidi"/>
                <w:sz w:val="26"/>
                <w:szCs w:val="26"/>
              </w:rPr>
              <w:t>Ministry of Education and Technical Education</w:t>
            </w:r>
          </w:p>
          <w:p>
            <w:pPr>
              <w:pStyle w:val="TableContents"/>
              <w:widowControl w:val="false"/>
              <w:numPr>
                <w:ilvl w:val="0"/>
                <w:numId w:val="3"/>
              </w:numPr>
              <w:ind w:left="414" w:hanging="360"/>
              <w:rPr>
                <w:rFonts w:cs="" w:asciiTheme="majorBidi" w:cstheme="majorBidi" w:hAnsiTheme="majorBidi"/>
                <w:color w:val="auto"/>
                <w:sz w:val="26"/>
                <w:szCs w:val="26"/>
              </w:rPr>
            </w:pPr>
            <w:r>
              <w:rPr>
                <w:rFonts w:cs="" w:asciiTheme="majorBidi" w:cstheme="majorBidi" w:hAnsiTheme="majorBidi"/>
                <w:color w:val="auto"/>
                <w:sz w:val="26"/>
                <w:szCs w:val="26"/>
              </w:rPr>
              <w:t>Opportunity with Land and utilities</w:t>
            </w:r>
          </w:p>
        </w:tc>
        <w:tc>
          <w:tcPr>
            <w:tcW w:w="3335" w:type="dxa"/>
            <w:tcBorders>
              <w:top w:val="single" w:sz="2" w:space="0" w:color="000001"/>
              <w:left w:val="single" w:sz="2" w:space="0" w:color="000001"/>
              <w:bottom w:val="single" w:sz="2" w:space="0" w:color="000001"/>
              <w:right w:val="single" w:sz="2" w:space="0" w:color="000001"/>
            </w:tcBorders>
            <w:shd w:color="auto" w:fill="FFFFFF" w:val="clear"/>
          </w:tcPr>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 xml:space="preserve">Ms. Manar Waly           </w:t>
            </w:r>
          </w:p>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Investment Promotion Officer (Asia Dept.)</w:t>
            </w:r>
          </w:p>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Investment Promotion Sector</w:t>
            </w:r>
          </w:p>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3 Salah Salem Road, Fairgrounds, Nasr City-Cairo – P.O Box:11562-Egypt</w:t>
            </w:r>
          </w:p>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Tel: +2 02 240 55452    Ext:6861</w:t>
            </w:r>
          </w:p>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Fax: +2 02 240 55425</w:t>
            </w:r>
          </w:p>
          <w:p>
            <w:pPr>
              <w:pStyle w:val="TableContents"/>
              <w:widowControl w:val="false"/>
              <w:rPr>
                <w:rFonts w:cs="" w:asciiTheme="majorBidi" w:cstheme="majorBidi" w:hAnsiTheme="majorBidi"/>
                <w:color w:val="auto"/>
                <w:sz w:val="26"/>
                <w:szCs w:val="26"/>
              </w:rPr>
            </w:pPr>
            <w:r>
              <w:rPr>
                <w:rFonts w:cs="" w:asciiTheme="majorBidi" w:cstheme="majorBidi" w:hAnsiTheme="majorBidi"/>
                <w:color w:val="auto"/>
                <w:sz w:val="26"/>
                <w:szCs w:val="26"/>
              </w:rPr>
              <w:t xml:space="preserve">E-mail: </w:t>
            </w:r>
            <w:hyperlink r:id="rId6">
              <w:r>
                <w:rPr>
                  <w:rStyle w:val="InternetLink"/>
                  <w:rFonts w:cs="" w:asciiTheme="majorBidi" w:cstheme="majorBidi" w:hAnsiTheme="majorBidi"/>
                  <w:color w:val="auto"/>
                  <w:sz w:val="26"/>
                  <w:szCs w:val="26"/>
                </w:rPr>
                <w:t>m.waly@gafinet.org.eg</w:t>
              </w:r>
            </w:hyperlink>
          </w:p>
        </w:tc>
      </w:tr>
    </w:tbl>
    <w:p>
      <w:pPr>
        <w:pStyle w:val="Standard"/>
        <w:spacing w:before="0" w:after="0"/>
        <w:rPr>
          <w:rFonts w:cs="" w:asciiTheme="majorBidi" w:cstheme="majorBidi" w:hAnsiTheme="majorBidi"/>
          <w:color w:val="auto"/>
          <w:sz w:val="26"/>
          <w:szCs w:val="26"/>
        </w:rPr>
      </w:pPr>
      <w:r>
        <w:rPr>
          <w:rFonts w:cs="" w:asciiTheme="majorBidi" w:cstheme="majorBidi" w:hAnsiTheme="majorBidi"/>
          <w:color w:val="auto"/>
          <w:sz w:val="26"/>
          <w:szCs w:val="26"/>
        </w:rPr>
      </w:r>
    </w:p>
    <w:p>
      <w:pPr>
        <w:pStyle w:val="Standard"/>
        <w:numPr>
          <w:ilvl w:val="0"/>
          <w:numId w:val="12"/>
        </w:numPr>
        <w:spacing w:before="0" w:after="0"/>
        <w:rPr>
          <w:rFonts w:cs="" w:asciiTheme="majorBidi" w:cstheme="majorBidi" w:hAnsiTheme="majorBidi"/>
          <w:color w:val="auto"/>
          <w:sz w:val="26"/>
          <w:szCs w:val="26"/>
        </w:rPr>
      </w:pPr>
      <w:r>
        <w:rPr>
          <w:rFonts w:cs="" w:asciiTheme="majorBidi" w:cstheme="majorBidi" w:hAnsiTheme="majorBidi"/>
          <w:color w:val="auto"/>
          <w:sz w:val="26"/>
          <w:szCs w:val="26"/>
        </w:rPr>
        <w:t xml:space="preserve">Information on tender Notices for projects and procurement of interest to Indian project exporters/ suppliers (USD 15 million &amp; above) </w:t>
      </w:r>
    </w:p>
    <w:p>
      <w:pPr>
        <w:pStyle w:val="Standard"/>
        <w:spacing w:before="0" w:after="0"/>
        <w:rPr>
          <w:rFonts w:cs="" w:asciiTheme="majorBidi" w:cstheme="majorBidi" w:hAnsiTheme="majorBidi"/>
          <w:color w:val="auto"/>
          <w:sz w:val="26"/>
          <w:szCs w:val="26"/>
        </w:rPr>
      </w:pPr>
      <w:r>
        <w:rPr>
          <w:rFonts w:cs="" w:asciiTheme="majorBidi" w:cstheme="majorBidi" w:hAnsiTheme="majorBidi"/>
          <w:color w:val="auto"/>
          <w:sz w:val="26"/>
          <w:szCs w:val="26"/>
        </w:rPr>
        <w:tab/>
      </w:r>
    </w:p>
    <w:tbl>
      <w:tblPr>
        <w:tblW w:w="10080" w:type="dxa"/>
        <w:jc w:val="left"/>
        <w:tblInd w:w="0" w:type="dxa"/>
        <w:tblLayout w:type="fixed"/>
        <w:tblCellMar>
          <w:top w:w="55" w:type="dxa"/>
          <w:left w:w="36" w:type="dxa"/>
          <w:bottom w:w="55" w:type="dxa"/>
          <w:right w:w="55" w:type="dxa"/>
        </w:tblCellMar>
        <w:tblLook w:val="0000" w:noHBand="0" w:noVBand="0" w:firstColumn="0" w:lastRow="0" w:lastColumn="0" w:firstRow="0"/>
      </w:tblPr>
      <w:tblGrid>
        <w:gridCol w:w="787"/>
        <w:gridCol w:w="4249"/>
        <w:gridCol w:w="1710"/>
        <w:gridCol w:w="3333"/>
      </w:tblGrid>
      <w:tr>
        <w:trPr/>
        <w:tc>
          <w:tcPr>
            <w:tcW w:w="787"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color w:val="auto"/>
                <w:sz w:val="26"/>
                <w:szCs w:val="26"/>
              </w:rPr>
            </w:pPr>
            <w:r>
              <w:rPr>
                <w:rFonts w:cs="" w:asciiTheme="majorBidi" w:cstheme="majorBidi" w:hAnsiTheme="majorBidi"/>
                <w:color w:val="auto"/>
                <w:sz w:val="26"/>
                <w:szCs w:val="26"/>
              </w:rPr>
              <w:t>Sl. No.</w:t>
            </w:r>
          </w:p>
        </w:tc>
        <w:tc>
          <w:tcPr>
            <w:tcW w:w="4249"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color w:val="auto"/>
                <w:sz w:val="26"/>
                <w:szCs w:val="26"/>
              </w:rPr>
            </w:pPr>
            <w:r>
              <w:rPr>
                <w:rFonts w:cs="" w:asciiTheme="majorBidi" w:cstheme="majorBidi" w:hAnsiTheme="majorBidi"/>
                <w:color w:val="auto"/>
                <w:sz w:val="26"/>
                <w:szCs w:val="26"/>
              </w:rPr>
              <w:t>Tender/ procurement notice No. and date</w:t>
            </w:r>
          </w:p>
        </w:tc>
        <w:tc>
          <w:tcPr>
            <w:tcW w:w="1710"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color w:val="auto"/>
                <w:sz w:val="26"/>
                <w:szCs w:val="26"/>
              </w:rPr>
            </w:pPr>
            <w:r>
              <w:rPr>
                <w:rFonts w:cs="" w:asciiTheme="majorBidi" w:cstheme="majorBidi" w:hAnsiTheme="majorBidi"/>
                <w:color w:val="auto"/>
                <w:sz w:val="26"/>
                <w:szCs w:val="26"/>
              </w:rPr>
              <w:t>Sector</w:t>
            </w:r>
          </w:p>
        </w:tc>
        <w:tc>
          <w:tcPr>
            <w:tcW w:w="3333" w:type="dxa"/>
            <w:tcBorders>
              <w:top w:val="single" w:sz="2" w:space="0" w:color="000001"/>
              <w:left w:val="single" w:sz="2" w:space="0" w:color="000001"/>
              <w:bottom w:val="single" w:sz="2" w:space="0" w:color="000001"/>
              <w:right w:val="single" w:sz="2" w:space="0" w:color="000001"/>
            </w:tcBorders>
            <w:shd w:color="auto" w:fill="FFFFFF" w:val="clear"/>
          </w:tcPr>
          <w:p>
            <w:pPr>
              <w:pStyle w:val="TableContents"/>
              <w:widowControl w:val="false"/>
              <w:jc w:val="center"/>
              <w:rPr>
                <w:rFonts w:cs="" w:asciiTheme="majorBidi" w:cstheme="majorBidi" w:hAnsiTheme="majorBidi"/>
                <w:color w:val="auto"/>
                <w:sz w:val="26"/>
                <w:szCs w:val="26"/>
              </w:rPr>
            </w:pPr>
            <w:r>
              <w:rPr>
                <w:rFonts w:cs="" w:asciiTheme="majorBidi" w:cstheme="majorBidi" w:hAnsiTheme="majorBidi"/>
                <w:color w:val="auto"/>
                <w:sz w:val="26"/>
                <w:szCs w:val="26"/>
              </w:rPr>
              <w:t>Value of tender/ procurement</w:t>
            </w:r>
          </w:p>
        </w:tc>
      </w:tr>
      <w:tr>
        <w:trPr/>
        <w:tc>
          <w:tcPr>
            <w:tcW w:w="787"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color w:val="auto"/>
                <w:sz w:val="26"/>
                <w:szCs w:val="26"/>
              </w:rPr>
            </w:pPr>
            <w:r>
              <w:rPr>
                <w:rFonts w:cs="" w:asciiTheme="majorBidi" w:cstheme="majorBidi" w:hAnsiTheme="majorBidi"/>
                <w:color w:val="auto"/>
                <w:sz w:val="26"/>
                <w:szCs w:val="26"/>
              </w:rPr>
              <w:t>1</w:t>
            </w:r>
          </w:p>
        </w:tc>
        <w:tc>
          <w:tcPr>
            <w:tcW w:w="4249" w:type="dxa"/>
            <w:tcBorders>
              <w:top w:val="single" w:sz="2" w:space="0" w:color="000001"/>
              <w:left w:val="single" w:sz="2" w:space="0" w:color="000001"/>
              <w:bottom w:val="single" w:sz="2" w:space="0" w:color="000001"/>
            </w:tcBorders>
            <w:shd w:color="auto" w:fill="FFFFFF" w:val="clear"/>
          </w:tcPr>
          <w:p>
            <w:pPr>
              <w:pStyle w:val="Normal"/>
              <w:widowControl w:val="false"/>
              <w:shd w:val="clear" w:color="auto" w:fill="FFFFFF"/>
              <w:spacing w:beforeAutospacing="1" w:after="0"/>
              <w:rPr>
                <w:rFonts w:eastAsia="Times New Roman" w:cs="" w:asciiTheme="majorBidi" w:cstheme="majorBidi" w:hAnsiTheme="majorBidi"/>
                <w:kern w:val="0"/>
                <w:sz w:val="26"/>
                <w:szCs w:val="26"/>
              </w:rPr>
            </w:pPr>
            <w:r>
              <w:rPr>
                <w:rFonts w:eastAsia="Times New Roman" w:cs="" w:asciiTheme="majorBidi" w:cstheme="majorBidi" w:hAnsiTheme="majorBidi"/>
                <w:kern w:val="0"/>
                <w:sz w:val="26"/>
                <w:szCs w:val="26"/>
              </w:rPr>
              <w:t>NIL</w:t>
            </w:r>
          </w:p>
        </w:tc>
        <w:tc>
          <w:tcPr>
            <w:tcW w:w="1710" w:type="dxa"/>
            <w:tcBorders>
              <w:top w:val="single" w:sz="2" w:space="0" w:color="000001"/>
              <w:left w:val="single" w:sz="2" w:space="0" w:color="000001"/>
              <w:bottom w:val="single" w:sz="2" w:space="0" w:color="000001"/>
            </w:tcBorders>
            <w:shd w:color="auto" w:fill="FFFFFF" w:val="clear"/>
          </w:tcPr>
          <w:p>
            <w:pPr>
              <w:pStyle w:val="TableContents"/>
              <w:widowControl w:val="false"/>
              <w:jc w:val="center"/>
              <w:rPr>
                <w:rFonts w:cs="" w:asciiTheme="majorBidi" w:cstheme="majorBidi" w:hAnsiTheme="majorBidi"/>
                <w:color w:val="FF0000"/>
                <w:sz w:val="26"/>
                <w:szCs w:val="26"/>
              </w:rPr>
            </w:pPr>
            <w:r>
              <w:rPr>
                <w:rFonts w:cs="" w:asciiTheme="majorBidi" w:cstheme="majorBidi" w:hAnsiTheme="majorBidi"/>
                <w:color w:val="FF0000"/>
                <w:sz w:val="26"/>
                <w:szCs w:val="26"/>
              </w:rPr>
            </w:r>
          </w:p>
        </w:tc>
        <w:tc>
          <w:tcPr>
            <w:tcW w:w="3333" w:type="dxa"/>
            <w:tcBorders>
              <w:top w:val="single" w:sz="2" w:space="0" w:color="000001"/>
              <w:left w:val="single" w:sz="2" w:space="0" w:color="000001"/>
              <w:bottom w:val="single" w:sz="2" w:space="0" w:color="000001"/>
              <w:right w:val="single" w:sz="2" w:space="0" w:color="000001"/>
            </w:tcBorders>
            <w:shd w:color="auto" w:fill="FFFFFF" w:val="clear"/>
          </w:tcPr>
          <w:p>
            <w:pPr>
              <w:pStyle w:val="TableContents"/>
              <w:widowControl w:val="false"/>
              <w:jc w:val="center"/>
              <w:rPr>
                <w:rFonts w:cs="" w:asciiTheme="majorBidi" w:cstheme="majorBidi" w:hAnsiTheme="majorBidi"/>
                <w:b/>
                <w:bCs/>
                <w:color w:val="FF0000"/>
                <w:sz w:val="26"/>
                <w:szCs w:val="26"/>
                <w:lang w:bidi="ar-EG"/>
              </w:rPr>
            </w:pPr>
            <w:r>
              <w:rPr>
                <w:rFonts w:cs="" w:asciiTheme="majorBidi" w:cstheme="majorBidi" w:hAnsiTheme="majorBidi"/>
                <w:b/>
                <w:bCs/>
                <w:color w:val="FF0000"/>
                <w:sz w:val="26"/>
                <w:szCs w:val="26"/>
                <w:lang w:bidi="ar-EG"/>
              </w:rPr>
            </w:r>
          </w:p>
        </w:tc>
      </w:tr>
    </w:tbl>
    <w:p>
      <w:pPr>
        <w:pStyle w:val="Standard"/>
        <w:spacing w:before="0" w:after="0"/>
        <w:rPr>
          <w:rFonts w:cs="" w:asciiTheme="majorBidi" w:cstheme="majorBidi" w:hAnsiTheme="majorBidi"/>
          <w:color w:val="auto"/>
          <w:sz w:val="26"/>
          <w:szCs w:val="26"/>
        </w:rPr>
      </w:pPr>
      <w:r>
        <w:rPr/>
      </w:r>
    </w:p>
    <w:sectPr>
      <w:type w:val="nextPage"/>
      <w:pgSz w:w="12240" w:h="15840"/>
      <w:pgMar w:left="1134" w:right="1134" w:gutter="0" w:header="0" w:top="1134" w:footer="0" w:bottom="1134"/>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roman"/>
    <w:pitch w:val="variable"/>
  </w:font>
  <w:font w:name="Liberation Mono">
    <w:altName w:val="Courier New"/>
    <w:charset w:val="01"/>
    <w:family w:val="roman"/>
    <w:pitch w:val="variable"/>
  </w:font>
  <w:font w:name="Cambria">
    <w:charset w:val="01"/>
    <w:family w:val="roman"/>
    <w:pitch w:val="variable"/>
  </w:font>
  <w:font w:name="Calibri">
    <w:charset w:val="01"/>
    <w:family w:val="roman"/>
    <w:pitch w:val="variable"/>
  </w:font>
  <w:font w:name="Times New Roman">
    <w:charset w:val="01"/>
    <w:family w:val="roman"/>
    <w:pitch w:val="variable"/>
  </w:font>
  <w:font w:name="Brando Arabic Regular">
    <w:charset w:val="01"/>
    <w:family w:val="roman"/>
    <w:pitch w:val="variable"/>
  </w:font>
  <w:font w:name="Times New Roman">
    <w:charset w:val="01"/>
    <w:family w:val="roman"/>
    <w:pitch w:val="default"/>
  </w:font>
  <w:font w:name="Courier New">
    <w:charset w:val="01"/>
    <w:family w:val="modern"/>
    <w:pitch w:val="fixed"/>
  </w:font>
  <w:font w:name="Wingdings">
    <w:charset w:val="02"/>
    <w:family w:val="auto"/>
    <w:pitch w:val="default"/>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upperLetter"/>
      <w:lvlText w:val="%1."/>
      <w:lvlJc w:val="left"/>
      <w:pPr>
        <w:tabs>
          <w:tab w:val="num" w:pos="0"/>
        </w:tabs>
        <w:ind w:left="1080" w:hanging="72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2">
    <w:lvl w:ilvl="0">
      <w:start w:val="1"/>
      <w:numFmt w:val="lowerRoman"/>
      <w:lvlText w:val="%1)"/>
      <w:lvlJc w:val="left"/>
      <w:pPr>
        <w:tabs>
          <w:tab w:val="num" w:pos="0"/>
        </w:tabs>
        <w:ind w:left="778" w:hanging="720"/>
      </w:pPr>
      <w:rPr/>
    </w:lvl>
    <w:lvl w:ilvl="1">
      <w:start w:val="1"/>
      <w:numFmt w:val="lowerLetter"/>
      <w:lvlText w:val="%2."/>
      <w:lvlJc w:val="left"/>
      <w:pPr>
        <w:tabs>
          <w:tab w:val="num" w:pos="0"/>
        </w:tabs>
        <w:ind w:left="1138" w:hanging="360"/>
      </w:pPr>
      <w:rPr/>
    </w:lvl>
    <w:lvl w:ilvl="2">
      <w:start w:val="1"/>
      <w:numFmt w:val="lowerRoman"/>
      <w:lvlText w:val="%3."/>
      <w:lvlJc w:val="right"/>
      <w:pPr>
        <w:tabs>
          <w:tab w:val="num" w:pos="0"/>
        </w:tabs>
        <w:ind w:left="1858" w:hanging="180"/>
      </w:pPr>
      <w:rPr/>
    </w:lvl>
    <w:lvl w:ilvl="3">
      <w:start w:val="1"/>
      <w:numFmt w:val="decimal"/>
      <w:lvlText w:val="%4."/>
      <w:lvlJc w:val="left"/>
      <w:pPr>
        <w:tabs>
          <w:tab w:val="num" w:pos="0"/>
        </w:tabs>
        <w:ind w:left="2578" w:hanging="360"/>
      </w:pPr>
      <w:rPr/>
    </w:lvl>
    <w:lvl w:ilvl="4">
      <w:start w:val="1"/>
      <w:numFmt w:val="lowerLetter"/>
      <w:lvlText w:val="%5."/>
      <w:lvlJc w:val="left"/>
      <w:pPr>
        <w:tabs>
          <w:tab w:val="num" w:pos="0"/>
        </w:tabs>
        <w:ind w:left="3298" w:hanging="360"/>
      </w:pPr>
      <w:rPr/>
    </w:lvl>
    <w:lvl w:ilvl="5">
      <w:start w:val="1"/>
      <w:numFmt w:val="lowerRoman"/>
      <w:lvlText w:val="%6."/>
      <w:lvlJc w:val="right"/>
      <w:pPr>
        <w:tabs>
          <w:tab w:val="num" w:pos="0"/>
        </w:tabs>
        <w:ind w:left="4018" w:hanging="180"/>
      </w:pPr>
      <w:rPr/>
    </w:lvl>
    <w:lvl w:ilvl="6">
      <w:start w:val="1"/>
      <w:numFmt w:val="decimal"/>
      <w:lvlText w:val="%7."/>
      <w:lvlJc w:val="left"/>
      <w:pPr>
        <w:tabs>
          <w:tab w:val="num" w:pos="0"/>
        </w:tabs>
        <w:ind w:left="4738" w:hanging="360"/>
      </w:pPr>
      <w:rPr/>
    </w:lvl>
    <w:lvl w:ilvl="7">
      <w:start w:val="1"/>
      <w:numFmt w:val="lowerLetter"/>
      <w:lvlText w:val="%8."/>
      <w:lvlJc w:val="left"/>
      <w:pPr>
        <w:tabs>
          <w:tab w:val="num" w:pos="0"/>
        </w:tabs>
        <w:ind w:left="5458" w:hanging="360"/>
      </w:pPr>
      <w:rPr/>
    </w:lvl>
    <w:lvl w:ilvl="8">
      <w:start w:val="1"/>
      <w:numFmt w:val="lowerRoman"/>
      <w:lvlText w:val="%9."/>
      <w:lvlJc w:val="right"/>
      <w:pPr>
        <w:tabs>
          <w:tab w:val="num" w:pos="0"/>
        </w:tabs>
        <w:ind w:left="6178" w:hanging="180"/>
      </w:pPr>
      <w:rPr/>
    </w:lvl>
  </w:abstractNum>
  <w:abstractNum w:abstractNumId="3">
    <w:lvl w:ilvl="0">
      <w:start w:val="5"/>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lvl w:ilvl="0">
      <w:start w:val="1"/>
      <w:numFmt w:val="lowerLetter"/>
      <w:lvlText w:val="%1."/>
      <w:lvlJc w:val="left"/>
      <w:pPr>
        <w:tabs>
          <w:tab w:val="num" w:pos="0"/>
        </w:tabs>
        <w:ind w:left="1080" w:hanging="72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5">
    <w:lvl w:ilvl="0">
      <w:start w:val="1"/>
      <w:numFmt w:val="lowerLetter"/>
      <w:lvlText w:val="%1."/>
      <w:lvlJc w:val="left"/>
      <w:pPr>
        <w:tabs>
          <w:tab w:val="num" w:pos="0"/>
        </w:tabs>
        <w:ind w:left="1080" w:hanging="72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lowerLetter"/>
      <w:lvlText w:val="%1."/>
      <w:lvlJc w:val="left"/>
      <w:pPr>
        <w:tabs>
          <w:tab w:val="num" w:pos="0"/>
        </w:tabs>
        <w:ind w:left="1080" w:hanging="72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7">
    <w:lvl w:ilvl="0">
      <w:start w:val="1"/>
      <w:numFmt w:val="lowerLetter"/>
      <w:lvlText w:val="%1."/>
      <w:lvlJc w:val="left"/>
      <w:pPr>
        <w:tabs>
          <w:tab w:val="num" w:pos="0"/>
        </w:tabs>
        <w:ind w:left="1080" w:hanging="72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8">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4"/>
    <w:lvlOverride w:ilvl="0">
      <w:startOverride w:val="1"/>
    </w:lvlOverride>
  </w:num>
  <w:num w:numId="10">
    <w:abstractNumId w:val="4"/>
  </w:num>
  <w:num w:numId="11">
    <w:abstractNumId w:val="4"/>
    <w:lvlOverride w:ilvl="0">
      <w:startOverride w:val="1"/>
    </w:lvlOverride>
  </w:num>
  <w:num w:numId="12">
    <w:abstractNumId w:val="4"/>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ans CJK SC" w:cs="Droid Sans Devanagari"/>
        <w:sz w:val="24"/>
        <w:szCs w:val="24"/>
        <w:lang w:val="en-US" w:eastAsia="zh-CN" w:bidi="hi-IN"/>
      </w:rPr>
    </w:rPrDefault>
    <w:pPrDefault>
      <w:pPr>
        <w:suppressAutoHyphens w:val="true"/>
      </w:pPr>
    </w:pPrDefault>
  </w:docDefaults>
  <w:style w:type="paragraph" w:styleId="Normal">
    <w:name w:val="Normal"/>
    <w:qFormat/>
    <w:pPr>
      <w:widowControl w:val="false"/>
      <w:suppressAutoHyphens w:val="true"/>
      <w:bidi w:val="0"/>
      <w:spacing w:before="0" w:after="0"/>
      <w:jc w:val="left"/>
    </w:pPr>
    <w:rPr>
      <w:rFonts w:ascii="Liberation Serif" w:hAnsi="Liberation Serif" w:eastAsia="Noto Sans CJK SC" w:cs="Droid Sans Devanagari"/>
      <w:color w:val="auto"/>
      <w:kern w:val="0"/>
      <w:sz w:val="24"/>
      <w:szCs w:val="24"/>
      <w:lang w:val="en-US" w:eastAsia="zh-CN" w:bidi="hi-IN"/>
    </w:rPr>
  </w:style>
  <w:style w:type="character" w:styleId="DefaultParagraphFont">
    <w:name w:val="Default Paragraph Font"/>
    <w:qFormat/>
    <w:rPr/>
  </w:style>
  <w:style w:type="character" w:styleId="InternetLink">
    <w:name w:val="Hyperlink"/>
    <w:basedOn w:val="DefaultParagraphFont"/>
    <w:rPr>
      <w:color w:val="0000FF"/>
      <w:u w:val="single"/>
    </w:rPr>
  </w:style>
  <w:style w:type="character" w:styleId="VisitedInternetLink">
    <w:name w:val="FollowedHyperlink"/>
    <w:basedOn w:val="DefaultParagraphFont"/>
    <w:rPr>
      <w:color w:val="800080"/>
      <w:u w:val="single"/>
    </w:rPr>
  </w:style>
  <w:style w:type="character" w:styleId="Internetlink1">
    <w:name w:val="Internet link"/>
    <w:basedOn w:val="DefaultParagraphFont"/>
    <w:qFormat/>
    <w:rPr>
      <w:color w:val="0000FF"/>
      <w:u w:val="single"/>
    </w:rPr>
  </w:style>
  <w:style w:type="paragraph" w:styleId="Heading">
    <w:name w:val="Heading"/>
    <w:basedOn w:val="Normal"/>
    <w:next w:val="TextBody"/>
    <w:qFormat/>
    <w:pPr>
      <w:keepNext w:val="true"/>
      <w:spacing w:before="240" w:after="120"/>
    </w:pPr>
    <w:rPr>
      <w:rFonts w:ascii="Liberation Sans" w:hAnsi="Liberation Sans" w:eastAsia="Noto Sans CJK SC" w:cs="Droid Sans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Droid Sans Devanagari"/>
    </w:rPr>
  </w:style>
  <w:style w:type="paragraph" w:styleId="Caption">
    <w:name w:val="Caption"/>
    <w:basedOn w:val="Normal"/>
    <w:qFormat/>
    <w:pPr>
      <w:suppressLineNumbers/>
      <w:spacing w:before="120" w:after="120"/>
    </w:pPr>
    <w:rPr>
      <w:rFonts w:cs="Droid Sans Devanagari"/>
      <w:i/>
      <w:iCs/>
      <w:sz w:val="24"/>
      <w:szCs w:val="24"/>
    </w:rPr>
  </w:style>
  <w:style w:type="paragraph" w:styleId="Index">
    <w:name w:val="Index"/>
    <w:basedOn w:val="Normal"/>
    <w:qFormat/>
    <w:pPr>
      <w:suppressLineNumbers/>
    </w:pPr>
    <w:rPr>
      <w:rFonts w:cs="Droid Sans Devanagari"/>
    </w:rPr>
  </w:style>
  <w:style w:type="paragraph" w:styleId="PreformattedText">
    <w:name w:val="Preformatted Text"/>
    <w:basedOn w:val="Normal"/>
    <w:qFormat/>
    <w:pPr>
      <w:spacing w:before="0" w:after="0"/>
    </w:pPr>
    <w:rPr>
      <w:rFonts w:ascii="Liberation Mono" w:hAnsi="Liberation Mono" w:eastAsia="Noto Sans Mono CJK SC" w:cs="Liberation Mono"/>
      <w:sz w:val="20"/>
      <w:szCs w:val="20"/>
    </w:rPr>
  </w:style>
  <w:style w:type="paragraph" w:styleId="Standard">
    <w:name w:val="Standard"/>
    <w:qFormat/>
    <w:pPr>
      <w:widowControl/>
      <w:suppressAutoHyphens w:val="true"/>
      <w:bidi w:val="0"/>
      <w:spacing w:before="0" w:after="200"/>
      <w:jc w:val="left"/>
      <w:textAlignment w:val="baseline"/>
    </w:pPr>
    <w:rPr>
      <w:rFonts w:ascii="Cambria" w:hAnsi="Cambria" w:eastAsia="Cambria" w:cs="F1"/>
      <w:color w:val="00000A"/>
      <w:kern w:val="2"/>
      <w:sz w:val="24"/>
      <w:szCs w:val="24"/>
      <w:lang w:val="en-US" w:eastAsia="en-US" w:bidi="ar-SA"/>
    </w:rPr>
  </w:style>
  <w:style w:type="paragraph" w:styleId="Textbody1">
    <w:name w:val="Text body"/>
    <w:basedOn w:val="Standard"/>
    <w:qFormat/>
    <w:pPr>
      <w:spacing w:before="180" w:after="180"/>
    </w:pPr>
    <w:rPr/>
  </w:style>
  <w:style w:type="paragraph" w:styleId="FirstParagraph">
    <w:name w:val="First Paragraph"/>
    <w:basedOn w:val="Textbody1"/>
    <w:qFormat/>
    <w:pPr/>
    <w:rPr/>
  </w:style>
  <w:style w:type="paragraph" w:styleId="TableContents">
    <w:name w:val="Table Contents"/>
    <w:basedOn w:val="Standard"/>
    <w:qFormat/>
    <w:pPr>
      <w:spacing w:before="0" w:after="0"/>
    </w:pPr>
    <w:rPr/>
  </w:style>
  <w:style w:type="paragraph" w:styleId="ListParagraph">
    <w:name w:val="List Paragraph"/>
    <w:basedOn w:val="Standard"/>
    <w:qFormat/>
    <w:pPr>
      <w:ind w:left="720" w:hanging="0"/>
    </w:pPr>
    <w:rPr/>
  </w:style>
  <w:style w:type="paragraph" w:styleId="NoSpacing">
    <w:name w:val="No Spacing"/>
    <w:basedOn w:val="Standard"/>
    <w:qFormat/>
    <w:pPr>
      <w:spacing w:before="0" w:after="0"/>
    </w:pPr>
    <w:rPr>
      <w:rFonts w:ascii="Calibri" w:hAnsi="Calibri" w:eastAsia="Calibri" w:cs="Times New Roman"/>
      <w:sz w:val="22"/>
      <w:szCs w:val="22"/>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techmahindra.com/en-in/techmahindra-overview/" TargetMode="External"/><Relationship Id="rId3" Type="http://schemas.openxmlformats.org/officeDocument/2006/relationships/hyperlink" Target="http://www.investinegypt.gov.eg/" TargetMode="External"/><Relationship Id="rId4" Type="http://schemas.openxmlformats.org/officeDocument/2006/relationships/hyperlink" Target="mailto:m.waly@gafinet.org.eg" TargetMode="External"/><Relationship Id="rId5" Type="http://schemas.openxmlformats.org/officeDocument/2006/relationships/hyperlink" Target="mailto:m.waly@gafinet.org.eg" TargetMode="External"/><Relationship Id="rId6" Type="http://schemas.openxmlformats.org/officeDocument/2006/relationships/hyperlink" Target="mailto:m.waly@gafinet.org.eg" TargetMode="External"/><Relationship Id="rId7" Type="http://schemas.openxmlformats.org/officeDocument/2006/relationships/numbering" Target="numbering.xml"/><Relationship Id="rId8" Type="http://schemas.openxmlformats.org/officeDocument/2006/relationships/fontTable" Target="fontTable.xml"/><Relationship Id="rId9"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9</TotalTime>
  <Application>LibreOffice/7.5.2.2$Linux_X86_64 LibreOffice_project/50$Build-2</Application>
  <AppVersion>15.0000</AppVersion>
  <Pages>16</Pages>
  <Words>3002</Words>
  <Characters>16280</Characters>
  <CharactersWithSpaces>18958</CharactersWithSpaces>
  <Paragraphs>423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dcterms:modified xsi:type="dcterms:W3CDTF">2024-07-02T14:30:06Z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